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cs="方正小标宋简体"/>
          <w:color w:val="auto"/>
          <w:sz w:val="44"/>
          <w:szCs w:val="44"/>
          <w:lang w:val="en-US" w:eastAsia="zh-CN"/>
        </w:rPr>
        <w:t>海原县曹洼乡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“谁执法谁普法”四个清单</w:t>
      </w:r>
      <w:r>
        <w:rPr>
          <w:rFonts w:hint="eastAsia" w:ascii="方正小标宋简体" w:hAnsi="方正小标宋简体" w:cs="方正小标宋简体"/>
          <w:color w:val="auto"/>
          <w:sz w:val="44"/>
          <w:szCs w:val="44"/>
          <w:lang w:val="en-US" w:eastAsia="zh-CN"/>
        </w:rPr>
        <w:t>工作分解表</w:t>
      </w:r>
    </w:p>
    <w:bookmarkEnd w:id="0"/>
    <w:tbl>
      <w:tblPr>
        <w:tblStyle w:val="8"/>
        <w:tblpPr w:leftFromText="180" w:rightFromText="180" w:vertAnchor="text" w:horzAnchor="page" w:tblpX="1038" w:tblpY="534"/>
        <w:tblOverlap w:val="never"/>
        <w:tblW w:w="14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381"/>
        <w:gridCol w:w="1013"/>
        <w:gridCol w:w="956"/>
        <w:gridCol w:w="881"/>
        <w:gridCol w:w="927"/>
        <w:gridCol w:w="2786"/>
        <w:gridCol w:w="2981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381" w:type="dxa"/>
            <w:vMerge w:val="restar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内容清单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责任清单</w:t>
            </w:r>
          </w:p>
        </w:tc>
        <w:tc>
          <w:tcPr>
            <w:tcW w:w="6694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措施清单</w:t>
            </w:r>
          </w:p>
        </w:tc>
        <w:tc>
          <w:tcPr>
            <w:tcW w:w="2456" w:type="dxa"/>
            <w:vMerge w:val="restar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标准清单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1" w:type="dxa"/>
            <w:vMerge w:val="continue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责任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领导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责任人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责任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处室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普法对象</w:t>
            </w:r>
          </w:p>
        </w:tc>
        <w:tc>
          <w:tcPr>
            <w:tcW w:w="2786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学习宣传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载体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方式措施</w:t>
            </w:r>
          </w:p>
        </w:tc>
        <w:tc>
          <w:tcPr>
            <w:tcW w:w="2456" w:type="dxa"/>
            <w:vMerge w:val="continue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56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习近平法治思想；2.《中国共产党章程》；3.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中国共产党组织工作条例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《选举法》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《中国共产党基层组织选举工作条例》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《地方党政领导干部安全生产责任制规定》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《中国共产党党委（党组）理论学习中心组学习规则》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《中国共产党党员教育管理工作条例》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《中国共产党纪律处分条例》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《中国共产党农村基层组织工作条例》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田  地张元彻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马志忠孙晓伟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马晶晶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党建办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全乡领导干部</w:t>
            </w:r>
          </w:p>
        </w:tc>
        <w:tc>
          <w:tcPr>
            <w:tcW w:w="2786" w:type="dxa"/>
            <w:noWrap w:val="0"/>
            <w:vAlign w:val="center"/>
          </w:tcPr>
          <w:p>
            <w:pPr>
              <w:pStyle w:val="12"/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通过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党委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理论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中心组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学习、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干部集中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学习；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、主题党日、廉政党课、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“三会一课”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等形式，派发学法读本等资料，举办有关学法讲座和法律培训班。</w:t>
            </w:r>
          </w:p>
          <w:p>
            <w:pPr>
              <w:pStyle w:val="12"/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、举办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干部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学法用法考试。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落实领导干部学法制度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将法律法规学习纳入领导干部学习计划，利用会前学法等形式开展集中学习，每年组织开展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次领导干部法治专题培训。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深入学习宣传习近平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法治思想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，宣传科学立法、严格执法、公正司法、全民守法和党内法规建设的生动实践，了解和掌握全面依法治国的重大意义和总体要求，更好地发挥法治的引领和规范作用。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3.落实领导干部年终述法。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pStyle w:val="12"/>
              <w:widowControl/>
              <w:numPr>
                <w:ilvl w:val="0"/>
                <w:numId w:val="4"/>
              </w:numPr>
              <w:spacing w:line="345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领导带头学法、模范守法情况。</w:t>
            </w:r>
          </w:p>
          <w:p>
            <w:pPr>
              <w:pStyle w:val="12"/>
              <w:widowControl/>
              <w:numPr>
                <w:ilvl w:val="0"/>
                <w:numId w:val="4"/>
              </w:numPr>
              <w:spacing w:line="345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落实领导干部学法制度，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结合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政治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学习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认真组织实施年度内党内法规的普法工作任务，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每年不少于3次，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将党内法规的普法工作与业务工作同部署；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56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1.习近平法治思想2.《中华人民共和国宪法》3.《中华人民共和国民法典》4.《中华人民共和国人民调解法》5.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《法律援助法》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6.《社区矫正法》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马志忠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李权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司法所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全乡领导干部、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辖区居民</w:t>
            </w:r>
          </w:p>
        </w:tc>
        <w:tc>
          <w:tcPr>
            <w:tcW w:w="2786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1.利用展板、横幅、橱窗等进行法治宣传。2.做好“3·15”“4.15”“6·26”“12·4”等重要时间节点的法律法规宣传。3.利用”法律七进“、法律明白人等进行形式多样的法治宣传教育。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深入宣传相关法律法规。利用各种媒体，开展日常宣传法律法规宣传；2.组织开展相关法律法规知识培训，推动工作人员树立法治意识；3.深入辖区学校、村居、商铺等开展普法宣传活动；4、结合不同对象的不同需求，有针对性开展“法律八进”活动，创新普法方式方法，确保普法取得实效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56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1.认真组织开展普法宣传活动，丰富活动内容，拓宽活动载体，每年不少于6次；2.充分发挥各类宣传平台的作用，突出宣传实效。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</w:trPr>
        <w:tc>
          <w:tcPr>
            <w:tcW w:w="562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《行政法》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《行政处罚法》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《行政诉讼法》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《行政复议法》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道路交通安全法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《宁夏回族自治区消防安全责任制实施细则》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刘康林罗宗荣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李鹏飞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执法办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全乡领导干部、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辖区居民</w:t>
            </w:r>
          </w:p>
        </w:tc>
        <w:tc>
          <w:tcPr>
            <w:tcW w:w="2786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利用LED显示屏、横幅、展板等进行法治宣传。2.组织举办专题培训、理论讲授和集中上课等法治宣传活动，利用各种平台、阵地和载体进行形式多样的法治宣传教育。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1.扎实推进多层次多领域依法行政。按照依法治乡工作要求，继续开展法治曹洼创建，争取出亮点，出经验；2结合不同对象的不同需求，有针对性开展“法律七进”活动，创新普法方式方法，确保普法取得实效。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1.开展法律风险防控排查工作；2.充分发挥各类宣传平台的作用，突出宣传实效，开展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普法任务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每年不少于2次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</w:trPr>
        <w:tc>
          <w:tcPr>
            <w:tcW w:w="56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1.《中华人民共和国治安管理处罚法》2.《中华人民共和国刑事诉讼法》3.《中华人民共和国刑法》4.防范电信网络诈骗相关法律法规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马志忠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马佐毅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派出所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全乡领导干部、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辖区居民</w:t>
            </w:r>
          </w:p>
        </w:tc>
        <w:tc>
          <w:tcPr>
            <w:tcW w:w="2786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1.利用橱窗、展板、横幅等进行法治宣传。2.组织举办专题培训、理论讲授和集中上课等法治宣传活动，利用各种平台、阵地和载体进行形式多样的法治宣传教育。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1.充分结合业务职能在贯彻执行法律法规、办案过程中开展普法；2. 深入辖区学校、村居、商铺等开展普法宣传活动。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56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1.认真组织开展普法宣传活动，丰富活动内容，拓宽活动载体；2.充分发挥各类宣传平台的作用，突出宣传实效，每年开展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普法任务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不少于3次。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</w:trPr>
        <w:tc>
          <w:tcPr>
            <w:tcW w:w="56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1.《中华人民共和国未成年人保护法》2.《中华人民共和国预防未成年人犯罪法》3.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家庭教育促进法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《教师法》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《义务教育法》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马志忠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杨振兴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学区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教师、中小学生</w:t>
            </w:r>
          </w:p>
        </w:tc>
        <w:tc>
          <w:tcPr>
            <w:tcW w:w="2786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1.利用LED显示屏、横幅、展板等进行法治宣传。2.组织举办专题培训、理论讲授和集中上课等法治宣传活动，利用各种平台、阵地和载体进行形式多样的法治宣传教育。3、邀请法治副校长、法治辅导员授课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1.组织利用黑板报、班会的形式；2.开设好思想品法治课程；3.利用每周国旗下的讲话和广播时间等；4、法治副校长、辅导员入校园讲好法治课。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1.教职工的依法执教能力进一步提高；2.学生的思想道德水平提高，不良行为和不法行为减少等；3.每年开展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普法任务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不少于2次。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</w:trPr>
        <w:tc>
          <w:tcPr>
            <w:tcW w:w="56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《残疾人保障法》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《劳动者权益保护法》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《老年人权益保障法》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4.《退役士兵安置条例》5.《妇女权益保障法》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罗宗荣马金钰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雷金桦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民生服务中心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全乡领导干部、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辖区居民</w:t>
            </w:r>
          </w:p>
        </w:tc>
        <w:tc>
          <w:tcPr>
            <w:tcW w:w="2786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利用群众办事的时机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开展宣传活动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利用各种平台及阵地进行形式多样的法治宣传。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利用群众日常办事时机，积极开展宣传工作；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2、利用线上线下各种平台及阵地，结合各个时间节点开展宣传活动；3、大厅定点设置宣传角。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pStyle w:val="12"/>
              <w:widowControl/>
              <w:spacing w:line="345" w:lineRule="atLeas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1.认真组织开法治宣传活动，创新宣传模式，开展内容丰富、载体多样的活动。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2.发挥各类宣传平台的作用突出宣传实效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，每年开展普法任务不少于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1次。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</w:trPr>
        <w:tc>
          <w:tcPr>
            <w:tcW w:w="56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反食品浪费法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》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食品安全法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》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刘康林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刘  刚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社会事务管理办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全乡领导干部、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辖区居民</w:t>
            </w:r>
          </w:p>
        </w:tc>
        <w:tc>
          <w:tcPr>
            <w:tcW w:w="2786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利用群众办事的时机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开展宣传活动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利用各种平台及阵地进行形式多样的法治宣传。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利用群众办事时机，积极开展宣传工作；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充分结合业务职能在贯彻执行法律法规及业务办理过程中开展普法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认真组织实施年度内普法安排的普法工作任务，结合业务，宣传本部门执行的法律法规规章及规范性文件，每年开展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普法任务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不少于1次。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</w:trPr>
        <w:tc>
          <w:tcPr>
            <w:tcW w:w="56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《禁毒法》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宁夏回族自治区禁毒工作条例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《国防法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《中华人民共和国国家安全法》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《中国共产党政法工作条例》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刘康林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汪化忠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综治中心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全乡领导干部、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辖区居民</w:t>
            </w:r>
          </w:p>
        </w:tc>
        <w:tc>
          <w:tcPr>
            <w:tcW w:w="2786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1.利用展板、横幅、橱窗等进行法治宣传；2、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利用群众办事的时机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开展宣传活动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1.充分结合业务职能在贯彻执行法律法规及业务办理过程中开展普法；2.协调政法部门，矛盾纠纷化解调处现场以案释法。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pStyle w:val="12"/>
              <w:widowControl/>
              <w:spacing w:line="345" w:lineRule="atLeas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1.认真组织开法治宣传活动，创新宣传模式，开展内容丰富、载体多样的活动。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2.发挥各类宣传平台的作用突出宣传实效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，每年开展宣传普法任务不少于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1次。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</w:trPr>
        <w:tc>
          <w:tcPr>
            <w:tcW w:w="56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野生动物保护法》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《环境保护法》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《土地管理法》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《宁夏湿地保护条例》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《中华人民共和国环境保护法》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罗彦平罗宗荣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牛志远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农业综合服务中心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全乡领导干部、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辖区居民</w:t>
            </w:r>
          </w:p>
        </w:tc>
        <w:tc>
          <w:tcPr>
            <w:tcW w:w="2786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利用群众办事的时机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开展宣传活动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利用各种平台及阵地进行形式多样的法治宣传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利用展板、横幅、橱窗等进行法治宣传；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利用群众办事时机，积极开展宣传工作；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充分结合业务职能在贯彻执行法律法规及业务办理过程中开展普法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pStyle w:val="12"/>
              <w:widowControl/>
              <w:spacing w:line="345" w:lineRule="atLeas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1.认真组织开法治宣传活动，创新宣传模式，开展内容丰富、载体多样的活动。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2.发挥各类宣传平台的作用突出宣传实效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，每年开展普法任务不少于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1次。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</w:trPr>
        <w:tc>
          <w:tcPr>
            <w:tcW w:w="56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1.《兵役法》2.《保密法》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孙晓伟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彭文荣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综合办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全乡领导干部、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辖区居民</w:t>
            </w:r>
          </w:p>
        </w:tc>
        <w:tc>
          <w:tcPr>
            <w:tcW w:w="2786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利用群众办事的时机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开展宣传活动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利用各种平台及阵地进行形式多样的法治宣传。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利用群众办事时机，积极开展宣传工作；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充分结合业务职能在贯彻执行法律法规及业务办理过程中开展普法；3.发挥好微信公众号，常态化转发法律法规内容等。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pStyle w:val="12"/>
              <w:widowControl/>
              <w:spacing w:line="345" w:lineRule="atLeas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1.认真组织开法治宣传活动，创新宣传模式，开展内容丰富、载体多样的活动。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2.发挥各类宣传平台的作用突出宣传实效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eastAsia="zh-CN"/>
              </w:rPr>
              <w:t>，每年开展普法任务不少于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1次。</w:t>
            </w:r>
          </w:p>
        </w:tc>
      </w:tr>
    </w:tbl>
    <w:p>
      <w:pPr>
        <w:pStyle w:val="6"/>
        <w:jc w:val="left"/>
        <w:rPr>
          <w:rFonts w:hint="eastAsia" w:ascii="仿宋_GB2312" w:hAnsi="仿宋_GB2312" w:eastAsia="仿宋_GB2312" w:cs="仿宋_GB2312"/>
          <w:sz w:val="24"/>
          <w:szCs w:val="24"/>
        </w:rPr>
        <w:sectPr>
          <w:pgSz w:w="16838" w:h="11906" w:orient="landscape"/>
          <w:pgMar w:top="1803" w:right="1440" w:bottom="1803" w:left="1440" w:header="851" w:footer="992" w:gutter="0"/>
          <w:pgNumType w:fmt="decimal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91A5082-3E21-4EF9-A929-FCB982E63D0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27F232D-5D01-4D9C-9F90-B502641571C6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545FAF1-C371-4724-8BE0-2E0CE8DBBE5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E5296D81-3123-420F-BBF3-9213CBE9776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68EAFB"/>
    <w:multiLevelType w:val="singleLevel"/>
    <w:tmpl w:val="9368EA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75AB7DA"/>
    <w:multiLevelType w:val="singleLevel"/>
    <w:tmpl w:val="D75AB7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7F70D22"/>
    <w:multiLevelType w:val="singleLevel"/>
    <w:tmpl w:val="F7F70D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E8606D7"/>
    <w:multiLevelType w:val="singleLevel"/>
    <w:tmpl w:val="5E8606D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YmQ0N2UwMDgzMGQwMjFlOTdmNjQ4ZjA0YzY3ZmUifQ=="/>
  </w:docVars>
  <w:rsids>
    <w:rsidRoot w:val="02F62D4C"/>
    <w:rsid w:val="02BF047D"/>
    <w:rsid w:val="02F62D4C"/>
    <w:rsid w:val="27554158"/>
    <w:rsid w:val="6BC6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200" w:firstLineChars="200"/>
    </w:pPr>
  </w:style>
  <w:style w:type="paragraph" w:styleId="3">
    <w:name w:val="toc 3"/>
    <w:basedOn w:val="1"/>
    <w:next w:val="1"/>
    <w:unhideWhenUsed/>
    <w:qFormat/>
    <w:uiPriority w:val="39"/>
    <w:pPr>
      <w:ind w:left="840" w:leftChars="400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4"/>
    <w:uiPriority w:val="0"/>
    <w:pPr>
      <w:ind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目录1.1"/>
    <w:basedOn w:val="11"/>
    <w:qFormat/>
    <w:uiPriority w:val="0"/>
    <w:pPr>
      <w:ind w:firstLine="0" w:firstLineChars="0"/>
      <w:jc w:val="center"/>
    </w:pPr>
    <w:rPr>
      <w:rFonts w:ascii="Times New Roman" w:hAnsi="Times New Roman" w:eastAsia="方正小标宋简体"/>
      <w:sz w:val="44"/>
      <w:szCs w:val="44"/>
    </w:rPr>
  </w:style>
  <w:style w:type="paragraph" w:customStyle="1" w:styleId="11">
    <w:name w:val="排版正文"/>
    <w:basedOn w:val="1"/>
    <w:qFormat/>
    <w:uiPriority w:val="0"/>
    <w:pPr>
      <w:spacing w:line="600" w:lineRule="exact"/>
      <w:ind w:firstLine="420" w:firstLineChars="200"/>
    </w:pPr>
    <w:rPr>
      <w:rFonts w:ascii="Times New Roman" w:hAnsi="Times New Roman" w:eastAsia="仿宋_GB2312"/>
      <w:sz w:val="32"/>
      <w:szCs w:val="32"/>
    </w:rPr>
  </w:style>
  <w:style w:type="paragraph" w:customStyle="1" w:styleId="12">
    <w:name w:val="Normal (Web)"/>
    <w:basedOn w:val="1"/>
    <w:qFormat/>
    <w:uiPriority w:val="0"/>
    <w:pPr>
      <w:widowControl w:val="0"/>
      <w:adjustRightInd/>
      <w:snapToGrid/>
      <w:spacing w:after="0"/>
    </w:pPr>
    <w:rPr>
      <w:rFonts w:ascii="Times New Roman" w:hAnsi="Times New Roman"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2022-04-28T03:18:00Z</dcterms:created>
  <dc:creator>闸与狭</dc:creator>
  <cp:lastModifiedBy>闸与狭</cp:lastModifiedBy>
  <dcterms:modified xsi:type="dcterms:W3CDTF">2022-04-28T03:18:57Z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7F78327B3B554F77A6481867BD046981</vt:lpwstr>
  </property>
</Properties>
</file>