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OLE_LINK1"/>
      <w:bookmarkStart w:id="1" w:name="OLE_LINK2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海原县</w:t>
      </w:r>
      <w:bookmarkStart w:id="2" w:name="OLE_LINK3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关桥乡方堡村闽宁协作项目</w:t>
      </w:r>
    </w:p>
    <w:bookmarkEnd w:id="0"/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建设内容初步规划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产业发展方面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计划种植中药材麦冬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搭建菌菇种植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拱</w:t>
      </w:r>
      <w:r>
        <w:rPr>
          <w:rFonts w:hint="eastAsia" w:ascii="仿宋_GB2312" w:hAnsi="仿宋_GB2312" w:eastAsia="仿宋_GB2312" w:cs="仿宋_GB2312"/>
          <w:sz w:val="32"/>
          <w:szCs w:val="32"/>
        </w:rPr>
        <w:t>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建设成本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搭建日温棚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建设成本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，购买菌棒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150</w:t>
      </w:r>
      <w:r>
        <w:rPr>
          <w:rFonts w:hint="eastAsia" w:ascii="仿宋_GB2312" w:hAnsi="仿宋_GB2312" w:eastAsia="仿宋_GB2312" w:cs="仿宋_GB2312"/>
          <w:sz w:val="32"/>
          <w:szCs w:val="32"/>
        </w:rPr>
        <w:t>万棒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二、基础设施建设方面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方堡村梨花小镇两个出入口通道以及梨花半岛道路、亲水木平台、木栈道、扶手栏杆、婚纱摄影景观构筑物、游船码头、绿化、岸线周边生态治理等基础设施。其中塑胶道路连接梨花半岛现状面包砖路，为原有砂石路改造，面积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㎡，道路宽度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m，长度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135.5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m；石材铺装主要位于新建的圆形广场和原有观景亭部位，面积为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㎡;亲水木栈道贯穿整个梨花半岛，连接了半岛婚纱摄影基地，亲水木栈道面积为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㎡，扶手栏杆长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2670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m；挡土墙位于梨花半岛的北部，遮挡高差较大的台地部位，长度为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m；双层景观亭底座为正八边形，亭高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5.380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m；荷蒲薰风弧形廊架长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21.4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m，宽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m，廊架高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3.53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m；“铸牢中华民族共同体意识景墙”，景墙长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19.6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m，宽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mm，高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3.75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m；水边清漪亭底座为正四边形，亭高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4.99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m，长宽各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m；溢流堰长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m；石笼坐凳小品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m；网红大风车高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m，长宽各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m，成品采购。拍照打卡汽车、拍照打卡热气球、儿童游乐设施、乡村风格小品等，均可成品采购安置。绿化种植主要位于梨花半岛和梨花小镇两个出入口位置，苗木品种主要采用彩叶植物。水边湖岸线整治土方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m³，场地平整后主要种植薰衣草和柳叶马鞭草。建设成本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309.56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、村内道路硬化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公里，建设成本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、铺设面包砖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平方米，护坡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公里，建设成本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三、综合改造提升等方面建设成本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综上合计建设成本（补贴）需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1554.56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万元（其中闽宁协作资金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1454.56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，县级配套资金不高于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77559"/>
    <w:multiLevelType w:val="singleLevel"/>
    <w:tmpl w:val="2D2775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C056E"/>
    <w:rsid w:val="6C277664"/>
    <w:rsid w:val="778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778</Characters>
  <Lines>0</Lines>
  <Paragraphs>0</Paragraphs>
  <TotalTime>27</TotalTime>
  <ScaleCrop>false</ScaleCrop>
  <LinksUpToDate>false</LinksUpToDate>
  <CharactersWithSpaces>778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2024-12-13T17:56:00Z</dcterms:created>
  <dc:creator>Administrator</dc:creator>
  <cp:lastModifiedBy>swallow</cp:lastModifiedBy>
  <dcterms:modified xsi:type="dcterms:W3CDTF">2024-12-16T01:56:03Z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  <property fmtid="{D5CDD505-2E9C-101B-9397-08002B2CF9AE}" pid="3" name="ICV">
    <vt:lpwstr>0966E426B7564321A2F09AAA1D4C6220_12</vt:lpwstr>
  </property>
</Properties>
</file>