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rPr>
          <w:rFonts w:hint="default" w:ascii="Times New Roman" w:hAnsi="Times New Roman" w:eastAsia="仿宋_GB2312" w:cs="Times New Roman"/>
          <w:color w:val="auto"/>
          <w:sz w:val="36"/>
          <w:szCs w:val="36"/>
        </w:rPr>
      </w:pPr>
    </w:p>
    <w:p>
      <w:pPr>
        <w:adjustRightInd w:val="0"/>
        <w:snapToGrid w:val="0"/>
        <w:spacing w:before="192" w:beforeLines="80"/>
        <w:jc w:val="center"/>
        <w:rPr>
          <w:rFonts w:hint="eastAsia" w:ascii="仿宋" w:hAnsi="仿宋" w:eastAsia="仿宋" w:cs="仿宋"/>
          <w:b w:val="0"/>
          <w:bCs/>
          <w:color w:val="auto"/>
          <w:sz w:val="72"/>
          <w:szCs w:val="72"/>
        </w:rPr>
      </w:pPr>
      <w:r>
        <w:rPr>
          <w:rFonts w:hint="eastAsia" w:ascii="仿宋" w:hAnsi="仿宋" w:eastAsia="仿宋" w:cs="仿宋"/>
          <w:b w:val="0"/>
          <w:bCs/>
          <w:color w:val="auto"/>
          <w:sz w:val="72"/>
          <w:szCs w:val="72"/>
        </w:rPr>
        <w:t>建设项目环境影响报告表</w:t>
      </w:r>
    </w:p>
    <w:p>
      <w:pPr>
        <w:rPr>
          <w:rFonts w:hint="eastAsia" w:ascii="仿宋" w:hAnsi="仿宋" w:eastAsia="仿宋" w:cs="仿宋"/>
          <w:color w:val="auto"/>
          <w:sz w:val="36"/>
          <w:szCs w:val="36"/>
        </w:rPr>
      </w:pPr>
    </w:p>
    <w:p>
      <w:pPr>
        <w:adjustRightInd w:val="0"/>
        <w:snapToGrid w:val="0"/>
        <w:spacing w:before="192" w:beforeLines="80"/>
        <w:jc w:val="center"/>
        <w:rPr>
          <w:rFonts w:hint="eastAsia" w:ascii="仿宋" w:hAnsi="仿宋" w:eastAsia="仿宋" w:cs="仿宋"/>
          <w:bCs/>
          <w:color w:val="auto"/>
          <w:sz w:val="48"/>
          <w:szCs w:val="48"/>
        </w:rPr>
      </w:pPr>
      <w:r>
        <w:rPr>
          <w:rFonts w:hint="eastAsia" w:ascii="仿宋" w:hAnsi="仿宋" w:eastAsia="仿宋" w:cs="仿宋"/>
          <w:bCs/>
          <w:color w:val="auto"/>
          <w:sz w:val="48"/>
          <w:szCs w:val="48"/>
        </w:rPr>
        <w:t>（</w:t>
      </w:r>
      <w:r>
        <w:rPr>
          <w:rFonts w:hint="eastAsia" w:ascii="仿宋" w:hAnsi="仿宋" w:eastAsia="仿宋" w:cs="仿宋"/>
          <w:bCs/>
          <w:color w:val="auto"/>
          <w:sz w:val="48"/>
          <w:szCs w:val="48"/>
          <w:lang w:eastAsia="zh-CN"/>
        </w:rPr>
        <w:t>生态</w:t>
      </w:r>
      <w:r>
        <w:rPr>
          <w:rFonts w:hint="eastAsia" w:ascii="仿宋" w:hAnsi="仿宋" w:eastAsia="仿宋" w:cs="仿宋"/>
          <w:bCs/>
          <w:color w:val="auto"/>
          <w:sz w:val="48"/>
          <w:szCs w:val="48"/>
        </w:rPr>
        <w:t>影响类）</w:t>
      </w:r>
    </w:p>
    <w:p>
      <w:pPr>
        <w:adjustRightInd w:val="0"/>
        <w:snapToGrid w:val="0"/>
        <w:spacing w:line="288" w:lineRule="auto"/>
        <w:jc w:val="center"/>
        <w:outlineLvl w:val="0"/>
        <w:rPr>
          <w:rFonts w:hint="eastAsia" w:ascii="仿宋" w:hAnsi="仿宋" w:eastAsia="仿宋" w:cs="仿宋"/>
          <w:color w:val="auto"/>
          <w:kern w:val="44"/>
          <w:sz w:val="44"/>
          <w:szCs w:val="44"/>
        </w:rPr>
      </w:pPr>
    </w:p>
    <w:p>
      <w:pPr>
        <w:jc w:val="center"/>
        <w:rPr>
          <w:rFonts w:hint="eastAsia" w:ascii="仿宋" w:hAnsi="仿宋" w:eastAsia="仿宋" w:cs="仿宋"/>
          <w:color w:val="auto"/>
          <w:sz w:val="52"/>
          <w:szCs w:val="52"/>
        </w:rPr>
      </w:pPr>
    </w:p>
    <w:p>
      <w:pPr>
        <w:ind w:firstLine="1040"/>
        <w:rPr>
          <w:rFonts w:hint="eastAsia" w:ascii="仿宋" w:hAnsi="仿宋" w:eastAsia="仿宋" w:cs="仿宋"/>
          <w:color w:val="auto"/>
          <w:sz w:val="44"/>
          <w:szCs w:val="44"/>
        </w:rPr>
      </w:pPr>
    </w:p>
    <w:p>
      <w:pPr>
        <w:ind w:firstLine="1040"/>
        <w:rPr>
          <w:rFonts w:hint="eastAsia" w:ascii="仿宋" w:hAnsi="仿宋" w:eastAsia="仿宋" w:cs="仿宋"/>
          <w:color w:val="auto"/>
          <w:sz w:val="44"/>
          <w:szCs w:val="44"/>
        </w:rPr>
      </w:pPr>
    </w:p>
    <w:p>
      <w:pPr>
        <w:pStyle w:val="4"/>
        <w:rPr>
          <w:rFonts w:hint="eastAsia" w:ascii="仿宋" w:hAnsi="仿宋" w:eastAsia="仿宋" w:cs="仿宋"/>
        </w:rPr>
      </w:pPr>
    </w:p>
    <w:p>
      <w:pPr>
        <w:pStyle w:val="4"/>
        <w:rPr>
          <w:rFonts w:hint="eastAsia" w:ascii="仿宋" w:hAnsi="仿宋" w:eastAsia="仿宋" w:cs="仿宋"/>
          <w:lang w:val="en-US" w:eastAsia="zh-CN"/>
        </w:rPr>
      </w:pPr>
      <w:r>
        <w:rPr>
          <w:rFonts w:hint="eastAsia" w:ascii="仿宋" w:hAnsi="仿宋" w:eastAsia="仿宋" w:cs="仿宋"/>
          <w:lang w:val="en-US" w:eastAsia="zh-CN"/>
        </w:rPr>
        <w:t xml:space="preserve"> </w:t>
      </w:r>
    </w:p>
    <w:p>
      <w:pPr>
        <w:ind w:firstLine="1040"/>
        <w:rPr>
          <w:rFonts w:hint="eastAsia" w:ascii="仿宋" w:hAnsi="仿宋" w:eastAsia="仿宋" w:cs="仿宋"/>
          <w:color w:val="auto"/>
          <w:sz w:val="44"/>
          <w:szCs w:val="44"/>
        </w:rPr>
      </w:pPr>
    </w:p>
    <w:p>
      <w:pPr>
        <w:ind w:firstLine="1040"/>
        <w:rPr>
          <w:rFonts w:hint="eastAsia" w:ascii="仿宋" w:hAnsi="仿宋" w:eastAsia="仿宋" w:cs="仿宋"/>
          <w:color w:val="auto"/>
          <w:sz w:val="44"/>
          <w:szCs w:val="44"/>
        </w:rPr>
      </w:pPr>
    </w:p>
    <w:p>
      <w:pPr>
        <w:adjustRightInd w:val="0"/>
        <w:snapToGrid w:val="0"/>
        <w:spacing w:line="288" w:lineRule="auto"/>
        <w:ind w:firstLine="840" w:firstLineChars="3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“宁湘直流”配套新能源基地海原    </w:t>
      </w:r>
    </w:p>
    <w:p>
      <w:pPr>
        <w:adjustRightInd w:val="0"/>
        <w:snapToGrid w:val="0"/>
        <w:spacing w:line="288" w:lineRule="auto"/>
        <w:ind w:firstLine="2240" w:firstLineChars="8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 xml:space="preserve">             100万千瓦风电项目</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p>
    <w:p>
      <w:pPr>
        <w:adjustRightInd w:val="0"/>
        <w:snapToGrid w:val="0"/>
        <w:spacing w:line="288" w:lineRule="auto"/>
        <w:ind w:firstLine="840" w:firstLineChars="3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建设单位（盖章）：</w:t>
      </w:r>
      <w:r>
        <w:rPr>
          <w:rFonts w:hint="eastAsia" w:ascii="仿宋" w:hAnsi="仿宋" w:eastAsia="仿宋" w:cs="仿宋"/>
          <w:color w:val="auto"/>
          <w:sz w:val="28"/>
          <w:szCs w:val="28"/>
          <w:u w:val="single"/>
          <w:lang w:val="en-US" w:eastAsia="zh-CN"/>
        </w:rPr>
        <w:t xml:space="preserve">    海原县龙源新能源有限公司    </w:t>
      </w:r>
    </w:p>
    <w:p>
      <w:pPr>
        <w:adjustRightInd w:val="0"/>
        <w:snapToGrid w:val="0"/>
        <w:spacing w:line="288" w:lineRule="auto"/>
        <w:ind w:firstLine="840" w:firstLineChars="30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编制日期：</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2024年7月</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pStyle w:val="4"/>
        <w:rPr>
          <w:rFonts w:hint="default" w:ascii="Times New Roman" w:hAnsi="Times New Roman" w:eastAsia="仿宋_GB2312" w:cs="Times New Roman"/>
          <w:color w:val="auto"/>
          <w:sz w:val="36"/>
          <w:szCs w:val="36"/>
        </w:rPr>
      </w:pPr>
    </w:p>
    <w:p>
      <w:pPr>
        <w:rPr>
          <w:rFonts w:hint="default"/>
        </w:rPr>
      </w:pPr>
    </w:p>
    <w:bookmarkEnd w:id="0"/>
    <w:p>
      <w:pPr>
        <w:adjustRightInd w:val="0"/>
        <w:snapToGrid w:val="0"/>
        <w:spacing w:line="288" w:lineRule="auto"/>
        <w:ind w:firstLine="2160" w:firstLineChars="600"/>
        <w:jc w:val="both"/>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中华人民共和国生态环境部制</w:t>
      </w:r>
    </w:p>
    <w:p>
      <w:pPr>
        <w:adjustRightInd w:val="0"/>
        <w:snapToGrid w:val="0"/>
        <w:spacing w:line="288" w:lineRule="auto"/>
        <w:ind w:firstLine="1040"/>
        <w:rPr>
          <w:rFonts w:hint="default" w:ascii="Times New Roman" w:hAnsi="Times New Roman" w:eastAsia="仿宋_GB2312" w:cs="Times New Roman"/>
          <w:color w:val="auto"/>
          <w:sz w:val="36"/>
          <w:szCs w:val="36"/>
        </w:rPr>
        <w:sectPr>
          <w:headerReference r:id="rId3" w:type="default"/>
          <w:footerReference r:id="rId4" w:type="default"/>
          <w:footerReference r:id="rId5" w:type="even"/>
          <w:pgSz w:w="11906" w:h="16838"/>
          <w:pgMar w:top="1701" w:right="1417" w:bottom="1701" w:left="1417" w:header="851" w:footer="850" w:gutter="0"/>
          <w:pgBorders>
            <w:top w:val="none" w:sz="0" w:space="0"/>
            <w:left w:val="none" w:sz="0" w:space="0"/>
            <w:bottom w:val="none" w:sz="0" w:space="0"/>
            <w:right w:val="none" w:sz="0" w:space="0"/>
          </w:pgBorders>
          <w:pgNumType w:fmt="decimal" w:start="3"/>
          <w:cols w:space="0" w:num="1"/>
          <w:rtlGutter w:val="0"/>
          <w:docGrid w:linePitch="312" w:charSpace="0"/>
        </w:sectPr>
      </w:pPr>
    </w:p>
    <w:p>
      <w:pPr>
        <w:snapToGrid w:val="0"/>
        <w:ind w:firstLine="482"/>
        <w:jc w:val="right"/>
        <w:rPr>
          <w:rFonts w:ascii="Times New Roman" w:hAnsi="Times New Roman"/>
          <w:b/>
          <w:color w:val="auto"/>
          <w:sz w:val="24"/>
        </w:rPr>
      </w:pPr>
    </w:p>
    <w:p>
      <w:pPr>
        <w:pStyle w:val="2"/>
        <w:rPr>
          <w:rFonts w:hint="default"/>
          <w:color w:val="auto"/>
        </w:rPr>
        <w:sectPr>
          <w:pgSz w:w="11906" w:h="16838"/>
          <w:pgMar w:top="1701" w:right="1417" w:bottom="1701" w:left="1417" w:header="851" w:footer="850" w:gutter="0"/>
          <w:pgBorders>
            <w:top w:val="none" w:sz="0" w:space="0"/>
            <w:left w:val="none" w:sz="0" w:space="0"/>
            <w:bottom w:val="none" w:sz="0" w:space="0"/>
            <w:right w:val="none" w:sz="0" w:space="0"/>
          </w:pgBorders>
          <w:pgNumType w:fmt="decimal" w:start="3"/>
          <w:cols w:space="0" w:num="1"/>
          <w:rtlGutter w:val="0"/>
          <w:docGrid w:linePitch="312" w:charSpace="0"/>
        </w:sectPr>
      </w:pPr>
    </w:p>
    <w:p>
      <w:pPr>
        <w:pStyle w:val="7"/>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一、</w:t>
      </w:r>
      <w:r>
        <w:rPr>
          <w:rFonts w:hint="default" w:ascii="Times New Roman" w:hAnsi="Times New Roman" w:cs="Times New Roman"/>
          <w:color w:val="auto"/>
          <w:highlight w:val="none"/>
        </w:rPr>
        <w:t>建设项目基本情况</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2700"/>
        <w:gridCol w:w="2045"/>
        <w:gridCol w:w="3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建设项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目名称</w:t>
            </w:r>
          </w:p>
        </w:tc>
        <w:tc>
          <w:tcPr>
            <w:tcW w:w="7873" w:type="dxa"/>
            <w:gridSpan w:val="3"/>
            <w:vAlign w:val="center"/>
          </w:tcPr>
          <w:p>
            <w:pPr>
              <w:pStyle w:val="49"/>
              <w:bidi w:val="0"/>
              <w:spacing w:line="240" w:lineRule="auto"/>
              <w:ind w:left="0" w:leftChars="0" w:firstLine="0" w:firstLineChars="0"/>
              <w:jc w:val="center"/>
              <w:rPr>
                <w:rFonts w:hint="default" w:ascii="Times New Roman" w:hAnsi="Times New Roman" w:eastAsia="宋体" w:cs="Times New Roman"/>
                <w:b/>
                <w:bCs/>
                <w:color w:val="auto"/>
                <w:szCs w:val="24"/>
                <w:highlight w:val="none"/>
                <w:lang w:val="en-US" w:eastAsia="zh-CN"/>
              </w:rPr>
            </w:pPr>
            <w:r>
              <w:rPr>
                <w:rFonts w:hint="eastAsia" w:ascii="仿宋" w:hAnsi="仿宋" w:eastAsia="仿宋" w:cs="仿宋"/>
                <w:b w:val="0"/>
                <w:bCs w:val="0"/>
                <w:color w:val="auto"/>
                <w:kern w:val="16"/>
                <w:sz w:val="24"/>
                <w:szCs w:val="24"/>
                <w:lang w:val="en-US" w:eastAsia="zh-CN" w:bidi="ar-SA"/>
              </w:rPr>
              <w:t>“宁湘直流”配套新能源基地海原100万千瓦风电项目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项目代码</w:t>
            </w:r>
          </w:p>
        </w:tc>
        <w:tc>
          <w:tcPr>
            <w:tcW w:w="787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2404-640522-04-01-442680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建设单位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联系人</w:t>
            </w: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 w:cs="Times New Roman"/>
                <w:b/>
                <w:bCs/>
                <w:color w:val="auto"/>
                <w:sz w:val="24"/>
                <w:szCs w:val="24"/>
                <w:highlight w:val="none"/>
                <w:lang w:val="en-US" w:eastAsia="zh-CN"/>
              </w:rPr>
            </w:pPr>
            <w:r>
              <w:rPr>
                <w:rFonts w:hint="eastAsia" w:eastAsia="仿宋" w:cs="Times New Roman"/>
                <w:b w:val="0"/>
                <w:bCs w:val="0"/>
                <w:color w:val="auto"/>
                <w:sz w:val="24"/>
                <w:szCs w:val="24"/>
                <w:highlight w:val="none"/>
                <w:lang w:val="en-US" w:eastAsia="zh-CN"/>
              </w:rPr>
              <w:t>魏扬</w:t>
            </w:r>
          </w:p>
        </w:tc>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联系方式</w:t>
            </w:r>
          </w:p>
        </w:tc>
        <w:tc>
          <w:tcPr>
            <w:tcW w:w="3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180</w:t>
            </w:r>
            <w:r>
              <w:rPr>
                <w:rFonts w:hint="eastAsia" w:eastAsia="仿宋" w:cs="Times New Roman"/>
                <w:b w:val="0"/>
                <w:bCs w:val="0"/>
                <w:color w:val="auto"/>
                <w:sz w:val="24"/>
                <w:szCs w:val="24"/>
                <w:highlight w:val="none"/>
                <w:lang w:val="en-US" w:eastAsia="zh-CN"/>
              </w:rPr>
              <w:t>****</w:t>
            </w:r>
            <w:r>
              <w:rPr>
                <w:rFonts w:hint="default" w:ascii="Times New Roman" w:hAnsi="Times New Roman" w:eastAsia="仿宋" w:cs="Times New Roman"/>
                <w:b w:val="0"/>
                <w:bCs w:val="0"/>
                <w:color w:val="auto"/>
                <w:sz w:val="24"/>
                <w:szCs w:val="24"/>
                <w:highlight w:val="none"/>
                <w:lang w:val="en-US" w:eastAsia="zh-CN"/>
              </w:rPr>
              <w:t>5773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建设地点</w:t>
            </w:r>
          </w:p>
        </w:tc>
        <w:tc>
          <w:tcPr>
            <w:tcW w:w="787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u w:val="none"/>
                <w:lang w:val="en-US" w:eastAsia="zh-CN"/>
              </w:rPr>
              <w:t>宁夏回族自治区中卫市海原县李旺镇</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史店乡</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树台乡</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关桥乡</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贾塘乡</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曹洼乡</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九彩乡</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李俊乡</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红羊</w:t>
            </w:r>
            <w:bookmarkStart w:id="11" w:name="_GoBack"/>
            <w:bookmarkEnd w:id="11"/>
            <w:r>
              <w:rPr>
                <w:rFonts w:hint="default" w:ascii="Times New Roman" w:hAnsi="Times New Roman" w:eastAsia="仿宋" w:cs="Times New Roman"/>
                <w:b w:val="0"/>
                <w:bCs w:val="0"/>
                <w:color w:val="auto"/>
                <w:sz w:val="24"/>
                <w:szCs w:val="24"/>
                <w:highlight w:val="none"/>
                <w:u w:val="none"/>
                <w:lang w:val="en-US" w:eastAsia="zh-CN"/>
              </w:rPr>
              <w:t>乡</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关庄乡</w:t>
            </w:r>
            <w:r>
              <w:rPr>
                <w:rFonts w:hint="eastAsia" w:eastAsia="仿宋" w:cs="Times New Roman"/>
                <w:b w:val="0"/>
                <w:bCs w:val="0"/>
                <w:color w:val="auto"/>
                <w:sz w:val="24"/>
                <w:szCs w:val="24"/>
                <w:highlight w:val="none"/>
                <w:u w:val="none"/>
                <w:lang w:val="en-US" w:eastAsia="zh-CN"/>
              </w:rPr>
              <w:t>、</w:t>
            </w:r>
            <w:r>
              <w:rPr>
                <w:rFonts w:hint="default" w:ascii="Times New Roman" w:hAnsi="Times New Roman" w:eastAsia="仿宋" w:cs="Times New Roman"/>
                <w:b w:val="0"/>
                <w:bCs w:val="0"/>
                <w:color w:val="auto"/>
                <w:sz w:val="24"/>
                <w:szCs w:val="24"/>
                <w:highlight w:val="none"/>
                <w:u w:val="none"/>
                <w:lang w:val="en-US" w:eastAsia="zh-CN"/>
              </w:rPr>
              <w:t>甘城乡</w:t>
            </w:r>
            <w:r>
              <w:rPr>
                <w:rFonts w:hint="eastAsia" w:eastAsia="仿宋" w:cs="Times New Roman"/>
                <w:b w:val="0"/>
                <w:bCs w:val="0"/>
                <w:color w:val="auto"/>
                <w:sz w:val="24"/>
                <w:szCs w:val="24"/>
                <w:highlight w:val="none"/>
                <w:u w:val="none"/>
                <w:lang w:val="en-US" w:eastAsia="zh-CN"/>
              </w:rPr>
              <w:t>、郑</w:t>
            </w:r>
            <w:r>
              <w:rPr>
                <w:rFonts w:hint="default" w:ascii="Times New Roman" w:hAnsi="Times New Roman" w:eastAsia="仿宋" w:cs="Times New Roman"/>
                <w:b w:val="0"/>
                <w:bCs w:val="0"/>
                <w:color w:val="auto"/>
                <w:sz w:val="24"/>
                <w:szCs w:val="24"/>
                <w:highlight w:val="none"/>
                <w:u w:val="none"/>
                <w:lang w:val="en-US" w:eastAsia="zh-CN"/>
              </w:rPr>
              <w:t>旗乡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地理坐标</w:t>
            </w:r>
          </w:p>
        </w:tc>
        <w:tc>
          <w:tcPr>
            <w:tcW w:w="787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eastAsia="仿宋" w:cs="Times New Roman"/>
                <w:b w:val="0"/>
                <w:bCs w:val="0"/>
                <w:color w:val="auto"/>
                <w:sz w:val="24"/>
                <w:szCs w:val="24"/>
                <w:highlight w:val="none"/>
                <w:lang w:val="en-US" w:eastAsia="zh-CN"/>
              </w:rPr>
            </w:pPr>
            <w:r>
              <w:rPr>
                <w:rFonts w:hint="eastAsia" w:eastAsia="仿宋" w:cs="Times New Roman"/>
                <w:b w:val="0"/>
                <w:bCs w:val="0"/>
                <w:color w:val="auto"/>
                <w:sz w:val="24"/>
                <w:szCs w:val="24"/>
                <w:highlight w:val="none"/>
                <w:lang w:val="en-US" w:eastAsia="zh-CN"/>
              </w:rPr>
              <w:t>地块一：</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东经105°21′57.444″-105°53′31.55</w:t>
            </w:r>
            <w:r>
              <w:rPr>
                <w:rFonts w:hint="eastAsia" w:eastAsia="仿宋" w:cs="Times New Roman"/>
                <w:b w:val="0"/>
                <w:bCs w:val="0"/>
                <w:color w:val="auto"/>
                <w:sz w:val="24"/>
                <w:szCs w:val="24"/>
                <w:highlight w:val="none"/>
                <w:lang w:val="en-US" w:eastAsia="zh-CN"/>
              </w:rPr>
              <w:t>6</w:t>
            </w:r>
            <w:r>
              <w:rPr>
                <w:rFonts w:hint="default" w:ascii="Times New Roman" w:hAnsi="Times New Roman" w:eastAsia="仿宋" w:cs="Times New Roman"/>
                <w:b w:val="0"/>
                <w:bCs w:val="0"/>
                <w:color w:val="auto"/>
                <w:sz w:val="24"/>
                <w:szCs w:val="24"/>
                <w:highlight w:val="none"/>
                <w:lang w:val="en-US" w:eastAsia="zh-CN"/>
              </w:rPr>
              <w:t>″，北纬36°14′36.218″- 36°29′55.774″</w:t>
            </w:r>
            <w:r>
              <w:rPr>
                <w:rFonts w:hint="eastAsia" w:eastAsia="仿宋"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仿宋" w:cs="Times New Roman"/>
                <w:b w:val="0"/>
                <w:bCs w:val="0"/>
                <w:color w:val="auto"/>
                <w:sz w:val="24"/>
                <w:szCs w:val="24"/>
                <w:highlight w:val="none"/>
                <w:lang w:val="en-US" w:eastAsia="zh-CN"/>
              </w:rPr>
            </w:pPr>
            <w:r>
              <w:rPr>
                <w:rFonts w:hint="default" w:eastAsia="仿宋" w:cs="Times New Roman"/>
                <w:b w:val="0"/>
                <w:bCs w:val="0"/>
                <w:color w:val="auto"/>
                <w:sz w:val="24"/>
                <w:szCs w:val="24"/>
                <w:highlight w:val="none"/>
                <w:lang w:val="en-US" w:eastAsia="zh-CN"/>
              </w:rPr>
              <w:t>地块</w:t>
            </w:r>
            <w:r>
              <w:rPr>
                <w:rFonts w:hint="eastAsia" w:eastAsia="仿宋" w:cs="Times New Roman"/>
                <w:b w:val="0"/>
                <w:bCs w:val="0"/>
                <w:color w:val="auto"/>
                <w:sz w:val="24"/>
                <w:szCs w:val="24"/>
                <w:highlight w:val="none"/>
                <w:lang w:val="en-US" w:eastAsia="zh-CN"/>
              </w:rPr>
              <w:t>二</w:t>
            </w:r>
            <w:r>
              <w:rPr>
                <w:rFonts w:hint="default" w:eastAsia="仿宋"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仿宋" w:cs="Times New Roman"/>
                <w:b w:val="0"/>
                <w:bCs w:val="0"/>
                <w:color w:val="auto"/>
                <w:sz w:val="24"/>
                <w:szCs w:val="24"/>
                <w:highlight w:val="none"/>
                <w:lang w:val="en-US" w:eastAsia="zh-CN"/>
              </w:rPr>
            </w:pPr>
            <w:r>
              <w:rPr>
                <w:rFonts w:hint="default" w:eastAsia="仿宋" w:cs="Times New Roman"/>
                <w:b w:val="0"/>
                <w:bCs w:val="0"/>
                <w:color w:val="auto"/>
                <w:sz w:val="24"/>
                <w:szCs w:val="24"/>
                <w:highlight w:val="none"/>
                <w:lang w:val="en-US" w:eastAsia="zh-CN"/>
              </w:rPr>
              <w:t>东经105°41′8.90</w:t>
            </w:r>
            <w:r>
              <w:rPr>
                <w:rFonts w:hint="eastAsia" w:eastAsia="仿宋" w:cs="Times New Roman"/>
                <w:b w:val="0"/>
                <w:bCs w:val="0"/>
                <w:color w:val="auto"/>
                <w:sz w:val="24"/>
                <w:szCs w:val="24"/>
                <w:highlight w:val="none"/>
                <w:lang w:val="en-US" w:eastAsia="zh-CN"/>
              </w:rPr>
              <w:t>8</w:t>
            </w:r>
            <w:r>
              <w:rPr>
                <w:rFonts w:hint="default" w:eastAsia="仿宋" w:cs="Times New Roman"/>
                <w:b w:val="0"/>
                <w:bCs w:val="0"/>
                <w:color w:val="auto"/>
                <w:sz w:val="24"/>
                <w:szCs w:val="24"/>
                <w:highlight w:val="none"/>
                <w:lang w:val="en-US" w:eastAsia="zh-CN"/>
              </w:rPr>
              <w:t>″-106°5′46.992″，北纬36°33′12.869″- 36°51′24.639″</w:t>
            </w:r>
            <w:r>
              <w:rPr>
                <w:rFonts w:hint="eastAsia" w:eastAsia="仿宋"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仿宋" w:cs="Times New Roman"/>
                <w:b w:val="0"/>
                <w:bCs w:val="0"/>
                <w:color w:val="auto"/>
                <w:sz w:val="24"/>
                <w:szCs w:val="24"/>
                <w:highlight w:val="none"/>
                <w:lang w:val="en-US" w:eastAsia="zh-CN"/>
              </w:rPr>
            </w:pPr>
            <w:r>
              <w:rPr>
                <w:rFonts w:hint="default" w:eastAsia="仿宋" w:cs="Times New Roman"/>
                <w:b w:val="0"/>
                <w:bCs w:val="0"/>
                <w:color w:val="auto"/>
                <w:sz w:val="24"/>
                <w:szCs w:val="24"/>
                <w:highlight w:val="none"/>
                <w:lang w:val="en-US" w:eastAsia="zh-CN"/>
              </w:rPr>
              <w:t>地块</w:t>
            </w:r>
            <w:r>
              <w:rPr>
                <w:rFonts w:hint="eastAsia" w:eastAsia="仿宋" w:cs="Times New Roman"/>
                <w:b w:val="0"/>
                <w:bCs w:val="0"/>
                <w:color w:val="auto"/>
                <w:sz w:val="24"/>
                <w:szCs w:val="24"/>
                <w:highlight w:val="none"/>
                <w:lang w:val="en-US" w:eastAsia="zh-CN"/>
              </w:rPr>
              <w:t>三</w:t>
            </w:r>
            <w:r>
              <w:rPr>
                <w:rFonts w:hint="default" w:eastAsia="仿宋"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lang w:val="en-US" w:eastAsia="zh-CN"/>
              </w:rPr>
            </w:pPr>
            <w:r>
              <w:rPr>
                <w:rFonts w:hint="default" w:eastAsia="仿宋" w:cs="Times New Roman"/>
                <w:b w:val="0"/>
                <w:bCs w:val="0"/>
                <w:color w:val="auto"/>
                <w:sz w:val="24"/>
                <w:szCs w:val="24"/>
                <w:highlight w:val="none"/>
                <w:lang w:val="en-US" w:eastAsia="zh-CN"/>
              </w:rPr>
              <w:t>东经106°19′0.895″-106°27′50.906″，北纬36°30′16.808″- 36°37′40.779″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行业类别</w:t>
            </w: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四十一、电力、热力生产和供应业90陆上风力发电</w:t>
            </w:r>
          </w:p>
        </w:tc>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用地（用海）面积（m</w:t>
            </w:r>
            <w:r>
              <w:rPr>
                <w:rFonts w:hint="default" w:ascii="Times New Roman" w:hAnsi="Times New Roman" w:eastAsia="仿宋" w:cs="Times New Roman"/>
                <w:b/>
                <w:bCs/>
                <w:color w:val="auto"/>
                <w:sz w:val="24"/>
                <w:szCs w:val="24"/>
                <w:highlight w:val="none"/>
                <w:vertAlign w:val="superscript"/>
                <w:lang w:val="en-US" w:eastAsia="zh-CN"/>
              </w:rPr>
              <w:t>2</w:t>
            </w:r>
            <w:r>
              <w:rPr>
                <w:rFonts w:hint="default" w:ascii="Times New Roman" w:hAnsi="Times New Roman" w:eastAsia="仿宋" w:cs="Times New Roman"/>
                <w:b/>
                <w:bCs/>
                <w:color w:val="auto"/>
                <w:sz w:val="24"/>
                <w:szCs w:val="24"/>
                <w:highlight w:val="none"/>
                <w:lang w:val="en-US" w:eastAsia="zh-CN"/>
              </w:rPr>
              <w:t>）/长度（km）</w:t>
            </w:r>
          </w:p>
        </w:tc>
        <w:tc>
          <w:tcPr>
            <w:tcW w:w="3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用地总面积</w:t>
            </w:r>
            <w:r>
              <w:rPr>
                <w:rFonts w:hint="eastAsia" w:eastAsia="仿宋" w:cs="Times New Roman"/>
                <w:b w:val="0"/>
                <w:bCs w:val="0"/>
                <w:color w:val="auto"/>
                <w:sz w:val="24"/>
                <w:szCs w:val="24"/>
                <w:highlight w:val="none"/>
                <w:lang w:val="en-US" w:eastAsia="zh-CN"/>
              </w:rPr>
              <w:t>2177765</w:t>
            </w:r>
            <w:r>
              <w:rPr>
                <w:rFonts w:hint="default" w:ascii="Times New Roman" w:hAnsi="Times New Roman" w:eastAsia="仿宋" w:cs="Times New Roman"/>
                <w:b w:val="0"/>
                <w:bCs w:val="0"/>
                <w:color w:val="auto"/>
                <w:sz w:val="24"/>
                <w:szCs w:val="24"/>
                <w:highlight w:val="none"/>
                <w:lang w:val="en-US" w:eastAsia="zh-CN"/>
              </w:rPr>
              <w:t>m</w:t>
            </w:r>
            <w:r>
              <w:rPr>
                <w:rFonts w:hint="default" w:ascii="Times New Roman" w:hAnsi="Times New Roman" w:eastAsia="仿宋" w:cs="Times New Roman"/>
                <w:b w:val="0"/>
                <w:bCs w:val="0"/>
                <w:color w:val="auto"/>
                <w:sz w:val="24"/>
                <w:szCs w:val="24"/>
                <w:highlight w:val="none"/>
                <w:vertAlign w:val="superscript"/>
                <w:lang w:val="en-US" w:eastAsia="zh-CN"/>
              </w:rPr>
              <w:t>2</w:t>
            </w:r>
            <w:r>
              <w:rPr>
                <w:rFonts w:hint="default" w:ascii="Times New Roman" w:hAnsi="Times New Roman" w:eastAsia="仿宋"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永久占地</w:t>
            </w:r>
            <w:r>
              <w:rPr>
                <w:rFonts w:hint="eastAsia" w:eastAsia="仿宋" w:cs="Times New Roman"/>
                <w:b w:val="0"/>
                <w:bCs w:val="0"/>
                <w:color w:val="auto"/>
                <w:sz w:val="24"/>
                <w:szCs w:val="24"/>
                <w:highlight w:val="none"/>
                <w:lang w:val="en-US" w:eastAsia="zh-CN"/>
              </w:rPr>
              <w:t>80850</w:t>
            </w:r>
            <w:r>
              <w:rPr>
                <w:rFonts w:hint="default" w:ascii="Times New Roman" w:hAnsi="Times New Roman" w:eastAsia="仿宋" w:cs="Times New Roman"/>
                <w:b w:val="0"/>
                <w:bCs w:val="0"/>
                <w:color w:val="auto"/>
                <w:sz w:val="24"/>
                <w:szCs w:val="24"/>
                <w:highlight w:val="none"/>
                <w:lang w:val="en-US" w:eastAsia="zh-CN"/>
              </w:rPr>
              <w:t>m</w:t>
            </w:r>
            <w:r>
              <w:rPr>
                <w:rFonts w:hint="default" w:ascii="Times New Roman" w:hAnsi="Times New Roman" w:eastAsia="仿宋" w:cs="Times New Roman"/>
                <w:b w:val="0"/>
                <w:bCs w:val="0"/>
                <w:color w:val="auto"/>
                <w:sz w:val="24"/>
                <w:szCs w:val="24"/>
                <w:highlight w:val="none"/>
                <w:vertAlign w:val="superscript"/>
                <w:lang w:val="en-US" w:eastAsia="zh-CN"/>
              </w:rPr>
              <w:t>2</w:t>
            </w:r>
            <w:r>
              <w:rPr>
                <w:rFonts w:hint="eastAsia" w:eastAsia="仿宋" w:cs="Times New Roman"/>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临时占地</w:t>
            </w:r>
            <w:r>
              <w:rPr>
                <w:rFonts w:hint="eastAsia" w:eastAsia="仿宋" w:cs="Times New Roman"/>
                <w:b w:val="0"/>
                <w:bCs w:val="0"/>
                <w:color w:val="auto"/>
                <w:sz w:val="24"/>
                <w:szCs w:val="24"/>
                <w:highlight w:val="none"/>
                <w:lang w:val="en-US" w:eastAsia="zh-CN"/>
              </w:rPr>
              <w:t>2096915</w:t>
            </w:r>
            <w:r>
              <w:rPr>
                <w:rFonts w:hint="default" w:ascii="Times New Roman" w:hAnsi="Times New Roman" w:eastAsia="仿宋" w:cs="Times New Roman"/>
                <w:b w:val="0"/>
                <w:bCs w:val="0"/>
                <w:color w:val="auto"/>
                <w:sz w:val="24"/>
                <w:szCs w:val="24"/>
                <w:highlight w:val="none"/>
                <w:lang w:val="en-US" w:eastAsia="zh-CN"/>
              </w:rPr>
              <w:t>m</w:t>
            </w:r>
            <w:r>
              <w:rPr>
                <w:rFonts w:hint="default" w:ascii="Times New Roman" w:hAnsi="Times New Roman" w:eastAsia="仿宋" w:cs="Times New Roman"/>
                <w:b w:val="0"/>
                <w:bCs w:val="0"/>
                <w:color w:val="auto"/>
                <w:sz w:val="24"/>
                <w:szCs w:val="24"/>
                <w:highlight w:val="none"/>
                <w:vertAlign w:val="superscript"/>
                <w:lang w:val="en-US" w:eastAsia="zh-CN"/>
              </w:rPr>
              <w:t>2</w:t>
            </w:r>
            <w:r>
              <w:rPr>
                <w:rFonts w:hint="default" w:ascii="Times New Roman" w:hAnsi="Times New Roman" w:eastAsia="仿宋" w:cs="Times New Roman"/>
                <w:b w:val="0"/>
                <w:bCs w:val="0"/>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建设性质</w:t>
            </w: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color w:val="auto"/>
                <w:szCs w:val="21"/>
                <w:highlight w:val="none"/>
                <w:lang w:eastAsia="zh-CN"/>
              </w:rPr>
              <w:t>☑</w:t>
            </w:r>
            <w:r>
              <w:rPr>
                <w:rFonts w:hint="default" w:ascii="Times New Roman" w:hAnsi="Times New Roman" w:eastAsia="仿宋" w:cs="Times New Roman"/>
                <w:b w:val="0"/>
                <w:bCs w:val="0"/>
                <w:color w:val="auto"/>
                <w:sz w:val="24"/>
                <w:szCs w:val="24"/>
                <w:highlight w:val="none"/>
                <w:lang w:val="en-US" w:eastAsia="zh-CN"/>
              </w:rPr>
              <w:t>新建（迁建）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color w:val="auto"/>
                <w:szCs w:val="21"/>
                <w:highlight w:val="none"/>
              </w:rPr>
              <w:t>□</w:t>
            </w:r>
            <w:r>
              <w:rPr>
                <w:rFonts w:hint="default" w:ascii="Times New Roman" w:hAnsi="Times New Roman" w:eastAsia="仿宋" w:cs="Times New Roman"/>
                <w:b w:val="0"/>
                <w:bCs w:val="0"/>
                <w:color w:val="auto"/>
                <w:sz w:val="24"/>
                <w:szCs w:val="24"/>
                <w:highlight w:val="none"/>
                <w:lang w:val="en-US" w:eastAsia="zh-CN"/>
              </w:rPr>
              <w:t>改建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color w:val="auto"/>
                <w:szCs w:val="21"/>
              </w:rPr>
              <w:t>□</w:t>
            </w:r>
            <w:r>
              <w:rPr>
                <w:rFonts w:hint="default" w:ascii="Times New Roman" w:hAnsi="Times New Roman" w:eastAsia="仿宋" w:cs="Times New Roman"/>
                <w:b w:val="0"/>
                <w:bCs w:val="0"/>
                <w:color w:val="auto"/>
                <w:sz w:val="24"/>
                <w:szCs w:val="24"/>
                <w:highlight w:val="none"/>
                <w:lang w:val="en-US" w:eastAsia="zh-CN"/>
              </w:rPr>
              <w:t>扩建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color w:val="auto"/>
                <w:szCs w:val="21"/>
              </w:rPr>
              <w:t>□</w:t>
            </w:r>
            <w:r>
              <w:rPr>
                <w:rFonts w:hint="default" w:ascii="Times New Roman" w:hAnsi="Times New Roman" w:eastAsia="仿宋" w:cs="Times New Roman"/>
                <w:b w:val="0"/>
                <w:bCs w:val="0"/>
                <w:color w:val="auto"/>
                <w:sz w:val="24"/>
                <w:szCs w:val="24"/>
                <w:highlight w:val="none"/>
                <w:lang w:val="en-US" w:eastAsia="zh-CN"/>
              </w:rPr>
              <w:t>技术改造</w:t>
            </w:r>
          </w:p>
        </w:tc>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申报情形</w:t>
            </w:r>
          </w:p>
        </w:tc>
        <w:tc>
          <w:tcPr>
            <w:tcW w:w="3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color w:val="auto"/>
                <w:szCs w:val="21"/>
                <w:lang w:eastAsia="zh-CN"/>
              </w:rPr>
              <w:t>☑</w:t>
            </w:r>
            <w:r>
              <w:rPr>
                <w:rFonts w:hint="default" w:ascii="Times New Roman" w:hAnsi="Times New Roman" w:eastAsia="仿宋" w:cs="Times New Roman"/>
                <w:b w:val="0"/>
                <w:bCs w:val="0"/>
                <w:color w:val="auto"/>
                <w:sz w:val="24"/>
                <w:szCs w:val="24"/>
                <w:highlight w:val="none"/>
                <w:lang w:val="en-US" w:eastAsia="zh-CN"/>
              </w:rPr>
              <w:t>首次申报项目</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color w:val="auto"/>
                <w:szCs w:val="21"/>
              </w:rPr>
              <w:t>□</w:t>
            </w:r>
            <w:r>
              <w:rPr>
                <w:rFonts w:hint="default" w:ascii="Times New Roman" w:hAnsi="Times New Roman" w:eastAsia="仿宋" w:cs="Times New Roman"/>
                <w:b w:val="0"/>
                <w:bCs w:val="0"/>
                <w:color w:val="auto"/>
                <w:sz w:val="24"/>
                <w:szCs w:val="24"/>
                <w:highlight w:val="none"/>
                <w:lang w:val="en-US" w:eastAsia="zh-CN"/>
              </w:rPr>
              <w:t>不予批准后再次申报项目</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color w:val="auto"/>
                <w:szCs w:val="21"/>
              </w:rPr>
              <w:t>□</w:t>
            </w:r>
            <w:r>
              <w:rPr>
                <w:rFonts w:hint="default" w:ascii="Times New Roman" w:hAnsi="Times New Roman" w:eastAsia="仿宋" w:cs="Times New Roman"/>
                <w:b w:val="0"/>
                <w:bCs w:val="0"/>
                <w:color w:val="auto"/>
                <w:sz w:val="24"/>
                <w:szCs w:val="24"/>
                <w:highlight w:val="none"/>
                <w:lang w:val="en-US" w:eastAsia="zh-CN"/>
              </w:rPr>
              <w:t>超过五年重新审核项目</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color w:val="auto"/>
                <w:szCs w:val="21"/>
              </w:rPr>
              <w:t>□</w:t>
            </w:r>
            <w:r>
              <w:rPr>
                <w:rFonts w:hint="default" w:ascii="Times New Roman" w:hAnsi="Times New Roman" w:eastAsia="仿宋" w:cs="Times New Roman"/>
                <w:b w:val="0"/>
                <w:bCs w:val="0"/>
                <w:color w:val="auto"/>
                <w:sz w:val="24"/>
                <w:szCs w:val="24"/>
                <w:highlight w:val="none"/>
                <w:lang w:val="en-US" w:eastAsia="zh-CN"/>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项目审批（核准/备案）部门（选填）</w:t>
            </w: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eastAsia" w:eastAsia="仿宋" w:cs="Times New Roman"/>
                <w:b w:val="0"/>
                <w:bCs w:val="0"/>
                <w:color w:val="auto"/>
                <w:sz w:val="24"/>
                <w:szCs w:val="24"/>
                <w:highlight w:val="none"/>
                <w:lang w:val="en-US" w:eastAsia="zh-CN"/>
              </w:rPr>
              <w:t>宁夏回族自治区</w:t>
            </w:r>
            <w:r>
              <w:rPr>
                <w:rFonts w:hint="default" w:ascii="Times New Roman" w:hAnsi="Times New Roman" w:eastAsia="仿宋" w:cs="Times New Roman"/>
                <w:b w:val="0"/>
                <w:bCs w:val="0"/>
                <w:color w:val="auto"/>
                <w:sz w:val="24"/>
                <w:szCs w:val="24"/>
                <w:highlight w:val="none"/>
                <w:lang w:val="en-US" w:eastAsia="zh-CN"/>
              </w:rPr>
              <w:t>发展改革</w:t>
            </w:r>
            <w:r>
              <w:rPr>
                <w:rFonts w:hint="eastAsia" w:eastAsia="仿宋" w:cs="Times New Roman"/>
                <w:b w:val="0"/>
                <w:bCs w:val="0"/>
                <w:color w:val="auto"/>
                <w:sz w:val="24"/>
                <w:szCs w:val="24"/>
                <w:highlight w:val="none"/>
                <w:lang w:val="en-US" w:eastAsia="zh-CN"/>
              </w:rPr>
              <w:t>委</w:t>
            </w:r>
          </w:p>
        </w:tc>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项目审批（核准/备案）文号（选填）</w:t>
            </w:r>
          </w:p>
        </w:tc>
        <w:tc>
          <w:tcPr>
            <w:tcW w:w="3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 xml:space="preserve">宁发改能源（发展）审发〔2024〕38 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总投资（万元）</w:t>
            </w: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5"/>
                <w:rFonts w:hint="default" w:ascii="Times New Roman" w:hAnsi="Times New Roman" w:eastAsia="仿宋" w:cs="Times New Roman"/>
                <w:color w:val="auto"/>
                <w:highlight w:val="none"/>
                <w:lang w:val="en-US" w:eastAsia="zh-CN"/>
              </w:rPr>
            </w:pPr>
            <w:r>
              <w:rPr>
                <w:rStyle w:val="55"/>
                <w:rFonts w:hint="eastAsia" w:eastAsia="仿宋" w:cs="Times New Roman"/>
                <w:color w:val="auto"/>
                <w:highlight w:val="none"/>
                <w:lang w:val="en-US" w:eastAsia="zh-CN"/>
              </w:rPr>
              <w:t>365000.00</w:t>
            </w:r>
          </w:p>
        </w:tc>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环保投资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（万元）</w:t>
            </w:r>
          </w:p>
        </w:tc>
        <w:tc>
          <w:tcPr>
            <w:tcW w:w="3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Style w:val="55"/>
                <w:rFonts w:hint="eastAsia" w:eastAsia="仿宋" w:cs="Times New Roman"/>
                <w:color w:val="auto"/>
                <w:highlight w:val="none"/>
                <w:lang w:val="en-US" w:eastAsia="zh-CN"/>
              </w:rPr>
              <w:t>185</w:t>
            </w:r>
            <w:r>
              <w:rPr>
                <w:rStyle w:val="55"/>
                <w:rFonts w:hint="default" w:ascii="Times New Roman" w:hAnsi="Times New Roman" w:eastAsia="仿宋" w:cs="Times New Roman"/>
                <w:color w:val="auto"/>
                <w:highlight w:val="none"/>
                <w:lang w:val="en-US" w:eastAsia="zh-CN"/>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环保投资占比（%）</w:t>
            </w: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5"/>
                <w:rFonts w:hint="default" w:ascii="Times New Roman" w:hAnsi="Times New Roman" w:eastAsia="宋体" w:cs="Times New Roman"/>
                <w:color w:val="auto"/>
                <w:highlight w:val="none"/>
                <w:lang w:val="en-US" w:eastAsia="zh-CN"/>
              </w:rPr>
            </w:pPr>
            <w:r>
              <w:rPr>
                <w:rStyle w:val="55"/>
                <w:rFonts w:hint="eastAsia" w:cs="Times New Roman"/>
                <w:color w:val="auto"/>
                <w:highlight w:val="none"/>
                <w:lang w:val="en-US" w:eastAsia="zh-CN"/>
              </w:rPr>
              <w:t>0.50</w:t>
            </w:r>
          </w:p>
        </w:tc>
        <w:tc>
          <w:tcPr>
            <w:tcW w:w="20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施工工期</w:t>
            </w:r>
          </w:p>
        </w:tc>
        <w:tc>
          <w:tcPr>
            <w:tcW w:w="31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18</w:t>
            </w:r>
            <w:r>
              <w:rPr>
                <w:rFonts w:hint="default" w:ascii="Times New Roman" w:hAnsi="Times New Roman" w:eastAsia="宋体" w:cs="Times New Roman"/>
                <w:b w:val="0"/>
                <w:bCs w:val="0"/>
                <w:color w:val="auto"/>
                <w:sz w:val="24"/>
                <w:szCs w:val="24"/>
                <w:highlight w:val="none"/>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是否开工建设</w:t>
            </w:r>
          </w:p>
        </w:tc>
        <w:tc>
          <w:tcPr>
            <w:tcW w:w="787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Cs w:val="21"/>
                <w:lang w:eastAsia="zh-CN"/>
              </w:rPr>
              <w:t>☑</w:t>
            </w:r>
            <w:r>
              <w:rPr>
                <w:rFonts w:hint="eastAsia" w:ascii="仿宋" w:hAnsi="仿宋" w:eastAsia="仿宋" w:cs="仿宋"/>
                <w:b w:val="0"/>
                <w:bCs w:val="0"/>
                <w:color w:val="auto"/>
                <w:sz w:val="24"/>
                <w:szCs w:val="24"/>
                <w:highlight w:val="none"/>
                <w:lang w:val="en-US" w:eastAsia="zh-CN"/>
              </w:rPr>
              <w:t>否</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FF"/>
                <w:sz w:val="24"/>
                <w:szCs w:val="24"/>
                <w:highlight w:val="none"/>
                <w:lang w:val="en-US" w:eastAsia="zh-CN"/>
              </w:rPr>
            </w:pPr>
            <w:r>
              <w:rPr>
                <w:rFonts w:hint="eastAsia" w:ascii="仿宋" w:hAnsi="仿宋" w:eastAsia="仿宋" w:cs="仿宋"/>
                <w:color w:val="auto"/>
                <w:szCs w:val="21"/>
              </w:rPr>
              <w:t>□</w:t>
            </w:r>
            <w:r>
              <w:rPr>
                <w:rFonts w:hint="eastAsia" w:ascii="仿宋" w:hAnsi="仿宋" w:eastAsia="仿宋" w:cs="仿宋"/>
                <w:b w:val="0"/>
                <w:bCs w:val="0"/>
                <w:color w:val="auto"/>
                <w:sz w:val="24"/>
                <w:szCs w:val="24"/>
                <w:highlight w:val="none"/>
                <w:lang w:val="en-US" w:eastAsia="zh-CN"/>
              </w:rPr>
              <w:t>是：</w:t>
            </w:r>
            <w:r>
              <w:rPr>
                <w:rFonts w:hint="eastAsia" w:ascii="仿宋" w:hAnsi="仿宋" w:eastAsia="仿宋" w:cs="仿宋"/>
                <w:b w:val="0"/>
                <w:bCs w:val="0"/>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7"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专项评价设置情况</w:t>
            </w:r>
          </w:p>
        </w:tc>
        <w:tc>
          <w:tcPr>
            <w:tcW w:w="787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color w:val="auto"/>
                <w:kern w:val="16"/>
                <w:sz w:val="24"/>
                <w:szCs w:val="24"/>
                <w:lang w:val="en-US" w:eastAsia="zh-CN" w:bidi="ar-SA"/>
              </w:rPr>
            </w:pPr>
            <w:r>
              <w:rPr>
                <w:rFonts w:hint="eastAsia" w:ascii="仿宋" w:hAnsi="仿宋" w:eastAsia="仿宋" w:cs="仿宋"/>
                <w:color w:val="auto"/>
                <w:kern w:val="16"/>
                <w:sz w:val="24"/>
                <w:szCs w:val="24"/>
                <w:highlight w:val="none"/>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yellow"/>
                <w:lang w:val="en-US" w:eastAsia="zh-CN"/>
              </w:rPr>
            </w:pPr>
            <w:r>
              <w:rPr>
                <w:rFonts w:hint="eastAsia" w:ascii="仿宋" w:hAnsi="仿宋" w:eastAsia="仿宋" w:cs="仿宋"/>
                <w:b/>
                <w:bCs/>
                <w:color w:val="auto"/>
                <w:sz w:val="24"/>
                <w:szCs w:val="24"/>
                <w:highlight w:val="none"/>
                <w:lang w:val="en-US" w:eastAsia="zh-CN"/>
              </w:rPr>
              <w:t>规划情况</w:t>
            </w:r>
          </w:p>
        </w:tc>
        <w:tc>
          <w:tcPr>
            <w:tcW w:w="787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36" w:lineRule="auto"/>
              <w:jc w:val="center"/>
              <w:textAlignment w:val="auto"/>
              <w:rPr>
                <w:rFonts w:hint="eastAsia" w:ascii="仿宋" w:hAnsi="仿宋" w:eastAsia="仿宋" w:cs="仿宋"/>
                <w:color w:val="auto"/>
                <w:kern w:val="16"/>
                <w:sz w:val="24"/>
                <w:szCs w:val="24"/>
                <w:lang w:val="en-US" w:eastAsia="zh-CN" w:bidi="ar-SA"/>
              </w:rPr>
            </w:pPr>
            <w:r>
              <w:rPr>
                <w:rFonts w:hint="eastAsia" w:ascii="仿宋" w:hAnsi="仿宋" w:eastAsia="仿宋" w:cs="仿宋"/>
                <w:color w:val="auto"/>
                <w:kern w:val="16"/>
                <w:sz w:val="24"/>
                <w:szCs w:val="24"/>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规划环境影响评价情况</w:t>
            </w:r>
          </w:p>
        </w:tc>
        <w:tc>
          <w:tcPr>
            <w:tcW w:w="787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36"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kern w:val="16"/>
                <w:sz w:val="24"/>
                <w:szCs w:val="24"/>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1" w:hRule="atLeast"/>
          <w:jc w:val="center"/>
        </w:trPr>
        <w:tc>
          <w:tcPr>
            <w:tcW w:w="14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规划及规划环境影响评价符合性分析</w:t>
            </w:r>
          </w:p>
        </w:tc>
        <w:tc>
          <w:tcPr>
            <w:tcW w:w="7873" w:type="dxa"/>
            <w:gridSpan w:val="3"/>
            <w:vAlign w:val="center"/>
          </w:tcPr>
          <w:p>
            <w:pPr>
              <w:pStyle w:val="49"/>
              <w:bidi w:val="0"/>
              <w:ind w:left="0" w:leftChars="0" w:firstLine="0" w:firstLineChars="0"/>
              <w:jc w:val="center"/>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无</w:t>
            </w:r>
          </w:p>
          <w:p>
            <w:pPr>
              <w:pStyle w:val="49"/>
              <w:bidi w:val="0"/>
              <w:ind w:left="0" w:leftChars="0" w:firstLine="0" w:firstLineChars="0"/>
              <w:rPr>
                <w:rFonts w:hint="eastAsia" w:ascii="仿宋" w:hAnsi="仿宋" w:eastAsia="仿宋" w:cs="仿宋"/>
                <w:b w:val="0"/>
                <w:bCs w:val="0"/>
                <w:color w:val="auto"/>
                <w:szCs w:val="24"/>
                <w:highlight w:val="none"/>
                <w:lang w:val="en-US" w:eastAsia="zh-CN"/>
              </w:rPr>
            </w:pPr>
          </w:p>
        </w:tc>
      </w:tr>
    </w:tbl>
    <w:p>
      <w:pPr>
        <w:rPr>
          <w:rFonts w:hint="default" w:ascii="Times New Roman" w:hAnsi="Times New Roman" w:cs="Times New Roman"/>
          <w:color w:val="auto"/>
        </w:rPr>
        <w:sectPr>
          <w:headerReference r:id="rId6" w:type="default"/>
          <w:footerReference r:id="rId8" w:type="default"/>
          <w:headerReference r:id="rId7" w:type="even"/>
          <w:footerReference r:id="rId9" w:type="even"/>
          <w:pgSz w:w="11905" w:h="16838"/>
          <w:pgMar w:top="1803" w:right="1440" w:bottom="1803" w:left="1440" w:header="1247" w:footer="1247" w:gutter="0"/>
          <w:pgBorders>
            <w:top w:val="none" w:sz="0" w:space="0"/>
            <w:left w:val="none" w:sz="0" w:space="0"/>
            <w:bottom w:val="none" w:sz="0" w:space="0"/>
            <w:right w:val="none" w:sz="0" w:space="0"/>
          </w:pgBorders>
          <w:pgNumType w:fmt="decimal" w:start="1"/>
          <w:cols w:space="0" w:num="1"/>
          <w:docGrid w:linePitch="312" w:charSpace="0"/>
        </w:sectPr>
      </w:pP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81"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其他符合性分析</w:t>
            </w:r>
          </w:p>
        </w:tc>
        <w:tc>
          <w:tcPr>
            <w:tcW w:w="8484" w:type="dxa"/>
            <w:vMerge w:val="restart"/>
            <w:vAlign w:val="center"/>
          </w:tcPr>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b/>
                <w:bCs/>
                <w:color w:val="auto"/>
                <w:lang w:val="en-US" w:eastAsia="zh-CN"/>
              </w:rPr>
            </w:pPr>
            <w:r>
              <w:rPr>
                <w:rFonts w:hint="default" w:ascii="Times New Roman" w:hAnsi="Times New Roman" w:eastAsia="仿宋" w:cs="Times New Roman"/>
                <w:b/>
                <w:bCs/>
                <w:color w:val="auto"/>
                <w:lang w:val="en-US" w:eastAsia="zh-CN"/>
              </w:rPr>
              <w:t>1.与中卫市“三线一单”生态环境分区管控符合性分析</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color w:val="auto"/>
                <w:highlight w:val="none"/>
              </w:rPr>
            </w:pPr>
            <w:r>
              <w:rPr>
                <w:rFonts w:hint="default" w:ascii="Times New Roman" w:hAnsi="Times New Roman" w:eastAsia="仿宋" w:cs="Times New Roman"/>
                <w:b w:val="0"/>
                <w:bCs/>
                <w:color w:val="auto"/>
                <w:szCs w:val="24"/>
                <w:shd w:val="clear" w:color="auto" w:fill="auto"/>
              </w:rPr>
              <w:t>根据</w:t>
            </w:r>
            <w:r>
              <w:rPr>
                <w:rFonts w:hint="default" w:ascii="Times New Roman" w:hAnsi="Times New Roman" w:eastAsia="仿宋" w:cs="Times New Roman"/>
                <w:b w:val="0"/>
                <w:bCs/>
                <w:color w:val="auto"/>
                <w:szCs w:val="24"/>
                <w:shd w:val="clear" w:color="auto" w:fill="auto"/>
                <w:lang w:eastAsia="zh-CN"/>
              </w:rPr>
              <w:t>中卫市人民政府</w:t>
            </w:r>
            <w:r>
              <w:rPr>
                <w:rFonts w:hint="default" w:ascii="Times New Roman" w:hAnsi="Times New Roman" w:eastAsia="仿宋" w:cs="Times New Roman"/>
                <w:b w:val="0"/>
                <w:bCs/>
                <w:color w:val="auto"/>
                <w:szCs w:val="24"/>
                <w:shd w:val="clear" w:color="auto" w:fill="auto"/>
              </w:rPr>
              <w:t>发布的《市人民政府关于实施“三线一单”生态环境分区管控的</w:t>
            </w:r>
            <w:r>
              <w:rPr>
                <w:rFonts w:hint="default" w:ascii="Times New Roman" w:hAnsi="Times New Roman" w:eastAsia="仿宋" w:cs="Times New Roman"/>
                <w:b w:val="0"/>
                <w:bCs/>
                <w:color w:val="auto"/>
                <w:szCs w:val="24"/>
                <w:shd w:val="clear" w:color="auto" w:fill="auto"/>
                <w:lang w:eastAsia="zh-CN"/>
              </w:rPr>
              <w:t>通知</w:t>
            </w:r>
            <w:r>
              <w:rPr>
                <w:rFonts w:hint="default" w:ascii="Times New Roman" w:hAnsi="Times New Roman" w:eastAsia="仿宋" w:cs="Times New Roman"/>
                <w:b w:val="0"/>
                <w:bCs/>
                <w:color w:val="auto"/>
                <w:szCs w:val="24"/>
                <w:shd w:val="clear" w:color="auto" w:fill="auto"/>
              </w:rPr>
              <w:t>》（</w:t>
            </w:r>
            <w:r>
              <w:rPr>
                <w:rFonts w:hint="default" w:ascii="Times New Roman" w:hAnsi="Times New Roman" w:eastAsia="仿宋" w:cs="Times New Roman"/>
                <w:b w:val="0"/>
                <w:bCs/>
                <w:color w:val="auto"/>
                <w:szCs w:val="24"/>
                <w:shd w:val="clear" w:color="auto" w:fill="auto"/>
                <w:lang w:eastAsia="zh-CN"/>
              </w:rPr>
              <w:t>卫政发</w:t>
            </w:r>
            <w:r>
              <w:rPr>
                <w:rFonts w:hint="default" w:ascii="Times New Roman" w:hAnsi="Times New Roman" w:eastAsia="仿宋" w:cs="Times New Roman"/>
                <w:b w:val="0"/>
                <w:bCs/>
                <w:color w:val="auto"/>
                <w:szCs w:val="24"/>
                <w:shd w:val="clear" w:color="auto" w:fill="auto"/>
              </w:rPr>
              <w:t>﹝20</w:t>
            </w:r>
            <w:r>
              <w:rPr>
                <w:rFonts w:hint="default" w:ascii="Times New Roman" w:hAnsi="Times New Roman" w:eastAsia="仿宋" w:cs="Times New Roman"/>
                <w:b w:val="0"/>
                <w:bCs/>
                <w:color w:val="auto"/>
                <w:szCs w:val="24"/>
                <w:shd w:val="clear" w:color="auto" w:fill="auto"/>
                <w:lang w:val="en-US" w:eastAsia="zh-CN"/>
              </w:rPr>
              <w:t>21</w:t>
            </w:r>
            <w:r>
              <w:rPr>
                <w:rFonts w:hint="default" w:ascii="Times New Roman" w:hAnsi="Times New Roman" w:eastAsia="仿宋" w:cs="Times New Roman"/>
                <w:b w:val="0"/>
                <w:bCs/>
                <w:color w:val="auto"/>
                <w:szCs w:val="24"/>
                <w:shd w:val="clear" w:color="auto" w:fill="auto"/>
              </w:rPr>
              <w:t>〕</w:t>
            </w:r>
            <w:r>
              <w:rPr>
                <w:rFonts w:hint="default" w:ascii="Times New Roman" w:hAnsi="Times New Roman" w:eastAsia="仿宋" w:cs="Times New Roman"/>
                <w:b w:val="0"/>
                <w:bCs/>
                <w:color w:val="auto"/>
                <w:szCs w:val="24"/>
                <w:shd w:val="clear" w:color="auto" w:fill="auto"/>
                <w:lang w:val="en-US" w:eastAsia="zh-CN"/>
              </w:rPr>
              <w:t>31</w:t>
            </w:r>
            <w:r>
              <w:rPr>
                <w:rFonts w:hint="default" w:ascii="Times New Roman" w:hAnsi="Times New Roman" w:eastAsia="仿宋" w:cs="Times New Roman"/>
                <w:b w:val="0"/>
                <w:bCs/>
                <w:color w:val="auto"/>
                <w:szCs w:val="24"/>
                <w:shd w:val="clear" w:color="auto" w:fill="auto"/>
              </w:rPr>
              <w:t>号）要求：推动生态环境质量改善，促进经济高质量发展，落实生态保护红线、环境质量底线、资源利用上线和生态环境准入清单(以下简称“三线一单”)</w:t>
            </w:r>
            <w:r>
              <w:rPr>
                <w:rFonts w:hint="default" w:ascii="Times New Roman" w:hAnsi="Times New Roman" w:eastAsia="仿宋" w:cs="Times New Roman"/>
                <w:b w:val="0"/>
                <w:bCs/>
                <w:color w:val="auto"/>
                <w:szCs w:val="24"/>
                <w:highlight w:val="none"/>
                <w:shd w:val="clear" w:color="auto" w:fill="auto"/>
              </w:rPr>
              <w:t>。</w:t>
            </w:r>
            <w:r>
              <w:rPr>
                <w:rFonts w:hint="default" w:ascii="Times New Roman" w:hAnsi="Times New Roman" w:eastAsia="仿宋" w:cs="Times New Roman"/>
                <w:b w:val="0"/>
                <w:bCs/>
                <w:color w:val="auto"/>
                <w:szCs w:val="24"/>
                <w:highlight w:val="none"/>
                <w:shd w:val="clear" w:color="auto" w:fill="auto"/>
                <w:lang w:val="en-US" w:eastAsia="zh-CN"/>
              </w:rPr>
              <w:t>本</w:t>
            </w:r>
            <w:r>
              <w:rPr>
                <w:rFonts w:hint="default" w:ascii="Times New Roman" w:hAnsi="Times New Roman" w:eastAsia="仿宋" w:cs="Times New Roman"/>
                <w:color w:val="auto"/>
                <w:highlight w:val="none"/>
                <w:lang w:eastAsia="zh-CN"/>
              </w:rPr>
              <w:t>项目与中卫市</w:t>
            </w:r>
            <w:r>
              <w:rPr>
                <w:rFonts w:hint="default" w:ascii="Times New Roman" w:hAnsi="Times New Roman" w:eastAsia="仿宋" w:cs="Times New Roman"/>
                <w:b w:val="0"/>
                <w:bCs/>
                <w:color w:val="auto"/>
                <w:szCs w:val="24"/>
                <w:highlight w:val="none"/>
                <w:shd w:val="clear" w:color="auto" w:fill="auto"/>
                <w:lang w:val="en-US" w:eastAsia="zh-CN"/>
              </w:rPr>
              <w:t>“三线一单”符合性分析如下：</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b/>
                <w:bCs/>
                <w:color w:val="auto"/>
                <w:lang w:eastAsia="zh-CN"/>
              </w:rPr>
            </w:pPr>
            <w:r>
              <w:rPr>
                <w:rFonts w:hint="default" w:ascii="Times New Roman" w:hAnsi="Times New Roman" w:eastAsia="仿宋" w:cs="Times New Roman"/>
                <w:b/>
                <w:bCs/>
                <w:color w:val="auto"/>
                <w:lang w:eastAsia="zh-CN"/>
              </w:rPr>
              <w:fldChar w:fldCharType="begin"/>
            </w:r>
            <w:r>
              <w:rPr>
                <w:rFonts w:hint="default" w:ascii="Times New Roman" w:hAnsi="Times New Roman" w:eastAsia="仿宋" w:cs="Times New Roman"/>
                <w:b/>
                <w:bCs/>
                <w:color w:val="auto"/>
                <w:lang w:eastAsia="zh-CN"/>
              </w:rPr>
              <w:instrText xml:space="preserve"> = 1 \* GB2 \* MERGEFORMAT </w:instrText>
            </w:r>
            <w:r>
              <w:rPr>
                <w:rFonts w:hint="default" w:ascii="Times New Roman" w:hAnsi="Times New Roman" w:eastAsia="仿宋" w:cs="Times New Roman"/>
                <w:b/>
                <w:bCs/>
                <w:color w:val="auto"/>
                <w:lang w:eastAsia="zh-CN"/>
              </w:rPr>
              <w:fldChar w:fldCharType="separate"/>
            </w:r>
            <w:r>
              <w:rPr>
                <w:b/>
                <w:bCs/>
                <w:color w:val="auto"/>
              </w:rPr>
              <w:t>⑴</w:t>
            </w:r>
            <w:r>
              <w:rPr>
                <w:rFonts w:hint="default" w:ascii="Times New Roman" w:hAnsi="Times New Roman" w:eastAsia="仿宋" w:cs="Times New Roman"/>
                <w:b/>
                <w:bCs/>
                <w:color w:val="auto"/>
                <w:lang w:eastAsia="zh-CN"/>
              </w:rPr>
              <w:fldChar w:fldCharType="end"/>
            </w:r>
            <w:r>
              <w:rPr>
                <w:rFonts w:hint="default" w:ascii="Times New Roman" w:hAnsi="Times New Roman" w:eastAsia="仿宋" w:cs="Times New Roman"/>
                <w:b/>
                <w:bCs/>
                <w:color w:val="auto"/>
                <w:lang w:eastAsia="zh-CN"/>
              </w:rPr>
              <w:t>生态保护红线</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b w:val="0"/>
                <w:bCs w:val="0"/>
                <w:color w:val="auto"/>
                <w:lang w:eastAsia="zh-CN"/>
              </w:rPr>
            </w:pPr>
            <w:r>
              <w:rPr>
                <w:rFonts w:hint="default" w:ascii="Times New Roman" w:hAnsi="Times New Roman" w:eastAsia="仿宋" w:cs="Times New Roman"/>
                <w:b w:val="0"/>
                <w:bCs w:val="0"/>
                <w:color w:val="auto"/>
                <w:lang w:eastAsia="zh-CN"/>
              </w:rPr>
              <w:t>本项目与中卫市生态保护红线位置关系见</w:t>
            </w:r>
            <w:r>
              <w:rPr>
                <w:rFonts w:hint="default" w:ascii="Times New Roman" w:hAnsi="Times New Roman" w:eastAsia="仿宋" w:cs="Times New Roman"/>
                <w:b/>
                <w:bCs/>
                <w:color w:val="auto"/>
                <w:lang w:eastAsia="zh-CN"/>
              </w:rPr>
              <w:t>附图</w:t>
            </w:r>
            <w:r>
              <w:rPr>
                <w:rFonts w:hint="default" w:ascii="Times New Roman" w:hAnsi="Times New Roman" w:eastAsia="仿宋" w:cs="Times New Roman"/>
                <w:b/>
                <w:bCs/>
                <w:color w:val="auto"/>
                <w:lang w:val="en-US" w:eastAsia="zh-CN"/>
              </w:rPr>
              <w:t>1，</w:t>
            </w:r>
            <w:r>
              <w:rPr>
                <w:rFonts w:hint="default" w:ascii="Times New Roman" w:hAnsi="Times New Roman" w:eastAsia="仿宋" w:cs="Times New Roman"/>
                <w:b w:val="0"/>
                <w:bCs w:val="0"/>
                <w:color w:val="auto"/>
                <w:lang w:val="en-US" w:eastAsia="zh-CN"/>
              </w:rPr>
              <w:t>由图可知，本项目</w:t>
            </w:r>
            <w:r>
              <w:rPr>
                <w:rFonts w:hint="default" w:ascii="Times New Roman" w:hAnsi="Times New Roman" w:eastAsia="仿宋" w:cs="Times New Roman"/>
                <w:b w:val="0"/>
                <w:bCs w:val="0"/>
                <w:color w:val="auto"/>
                <w:lang w:eastAsia="zh-CN"/>
              </w:rPr>
              <w:t>不在中卫市生态保护红线管控范围，项目运营后无废气、废水产生，不会对区域生态环境造成影响。</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b/>
                <w:bCs/>
                <w:color w:val="auto"/>
                <w:lang w:eastAsia="zh-CN"/>
              </w:rPr>
            </w:pPr>
            <w:r>
              <w:rPr>
                <w:rFonts w:hint="default" w:ascii="Times New Roman" w:hAnsi="Times New Roman" w:eastAsia="仿宋" w:cs="Times New Roman"/>
                <w:b/>
                <w:bCs/>
                <w:color w:val="auto"/>
                <w:lang w:eastAsia="zh-CN"/>
              </w:rPr>
              <w:t>⑵环境管控单元</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b w:val="0"/>
                <w:bCs w:val="0"/>
                <w:color w:val="auto"/>
                <w:lang w:val="en-US" w:eastAsia="zh-CN"/>
              </w:rPr>
            </w:pPr>
            <w:r>
              <w:rPr>
                <w:rFonts w:hint="default" w:ascii="Times New Roman" w:hAnsi="Times New Roman" w:eastAsia="仿宋" w:cs="Times New Roman"/>
                <w:b w:val="0"/>
                <w:bCs w:val="0"/>
                <w:color w:val="auto"/>
                <w:lang w:eastAsia="zh-CN"/>
              </w:rPr>
              <w:t>中卫市共划定环境管控单元49个，其中优先保护单元25个，重点管控单元12个，一般管控单元12个。本项目建设地点位于中卫市</w:t>
            </w:r>
            <w:r>
              <w:rPr>
                <w:rFonts w:hint="eastAsia" w:eastAsia="仿宋" w:cs="Times New Roman"/>
                <w:b w:val="0"/>
                <w:bCs w:val="0"/>
                <w:color w:val="auto"/>
                <w:lang w:eastAsia="zh-CN"/>
              </w:rPr>
              <w:t>海原县</w:t>
            </w:r>
            <w:r>
              <w:rPr>
                <w:rFonts w:hint="default" w:ascii="Times New Roman" w:hAnsi="Times New Roman" w:eastAsia="仿宋" w:cs="Times New Roman"/>
                <w:b w:val="0"/>
                <w:bCs w:val="0"/>
                <w:color w:val="auto"/>
                <w:lang w:eastAsia="zh-CN"/>
              </w:rPr>
              <w:t>，</w:t>
            </w:r>
            <w:r>
              <w:rPr>
                <w:rFonts w:hint="eastAsia" w:eastAsia="仿宋" w:cs="Times New Roman"/>
                <w:b w:val="0"/>
                <w:bCs w:val="0"/>
                <w:color w:val="auto"/>
                <w:lang w:eastAsia="zh-CN"/>
              </w:rPr>
              <w:t>共设置三个地块，其中地块一</w:t>
            </w:r>
            <w:r>
              <w:rPr>
                <w:rFonts w:hint="default" w:ascii="Times New Roman" w:hAnsi="Times New Roman" w:eastAsia="仿宋" w:cs="Times New Roman"/>
                <w:b w:val="0"/>
                <w:bCs w:val="0"/>
                <w:color w:val="auto"/>
                <w:lang w:eastAsia="zh-CN"/>
              </w:rPr>
              <w:t>属于环境管控单元中</w:t>
            </w:r>
            <w:r>
              <w:rPr>
                <w:rFonts w:hint="default" w:ascii="Times New Roman" w:hAnsi="Times New Roman" w:eastAsia="仿宋" w:cs="Times New Roman"/>
                <w:b/>
                <w:bCs/>
                <w:color w:val="auto"/>
                <w:lang w:eastAsia="zh-CN"/>
              </w:rPr>
              <w:t>一般管控单元</w:t>
            </w:r>
            <w:r>
              <w:rPr>
                <w:rFonts w:hint="eastAsia" w:eastAsia="仿宋" w:cs="Times New Roman"/>
                <w:b w:val="0"/>
                <w:bCs w:val="0"/>
                <w:color w:val="auto"/>
                <w:lang w:eastAsia="zh-CN"/>
              </w:rPr>
              <w:t>；地块二属于环境管控单元中</w:t>
            </w:r>
            <w:r>
              <w:rPr>
                <w:rFonts w:hint="eastAsia" w:eastAsia="仿宋" w:cs="Times New Roman"/>
                <w:b/>
                <w:bCs/>
                <w:color w:val="auto"/>
                <w:lang w:eastAsia="zh-CN"/>
              </w:rPr>
              <w:t>一般管控单元和</w:t>
            </w:r>
            <w:r>
              <w:rPr>
                <w:rFonts w:hint="default" w:ascii="Times New Roman" w:hAnsi="Times New Roman" w:eastAsia="仿宋" w:cs="Times New Roman"/>
                <w:b/>
                <w:bCs/>
                <w:color w:val="auto"/>
                <w:lang w:eastAsia="zh-CN"/>
              </w:rPr>
              <w:t>优先保护单元</w:t>
            </w:r>
            <w:r>
              <w:rPr>
                <w:rFonts w:hint="eastAsia" w:eastAsia="仿宋" w:cs="Times New Roman"/>
                <w:b w:val="0"/>
                <w:bCs w:val="0"/>
                <w:color w:val="auto"/>
                <w:lang w:eastAsia="zh-CN"/>
              </w:rPr>
              <w:t>；地块三属于环境管控单元中</w:t>
            </w:r>
            <w:r>
              <w:rPr>
                <w:rFonts w:hint="eastAsia" w:eastAsia="仿宋" w:cs="Times New Roman"/>
                <w:b/>
                <w:bCs/>
                <w:color w:val="auto"/>
                <w:lang w:eastAsia="zh-CN"/>
              </w:rPr>
              <w:t>一般管控单元和优先保护单元</w:t>
            </w:r>
            <w:r>
              <w:rPr>
                <w:rFonts w:hint="default" w:ascii="Times New Roman" w:hAnsi="Times New Roman" w:eastAsia="仿宋" w:cs="Times New Roman"/>
                <w:b w:val="0"/>
                <w:bCs w:val="0"/>
                <w:color w:val="auto"/>
                <w:lang w:eastAsia="zh-CN"/>
              </w:rPr>
              <w:t>。</w:t>
            </w:r>
            <w:r>
              <w:rPr>
                <w:rFonts w:hint="default" w:ascii="Times New Roman" w:hAnsi="Times New Roman" w:eastAsia="仿宋" w:cs="Times New Roman"/>
                <w:b w:val="0"/>
                <w:bCs w:val="0"/>
                <w:color w:val="auto"/>
                <w:lang w:val="en-US" w:eastAsia="zh-CN"/>
              </w:rPr>
              <w:t>优先保护单元：为生态保护红线、一般生态空间、水环境优先保护区、大气环境优先保护区的并集。优先保护单元以严格保护生态环境、严格限制产业发展为导向，禁止或限制大规模的工业开发和城镇建设。</w:t>
            </w:r>
            <w:r>
              <w:rPr>
                <w:rFonts w:hint="default" w:ascii="Times New Roman" w:hAnsi="Times New Roman" w:eastAsia="仿宋" w:cs="Times New Roman"/>
                <w:b w:val="0"/>
                <w:bCs w:val="0"/>
                <w:color w:val="auto"/>
                <w:lang w:eastAsia="zh-CN"/>
              </w:rPr>
              <w:t>一般管控单元</w:t>
            </w:r>
            <w:r>
              <w:rPr>
                <w:rFonts w:hint="default" w:ascii="Times New Roman" w:hAnsi="Times New Roman" w:eastAsia="仿宋" w:cs="Times New Roman"/>
                <w:b w:val="0"/>
                <w:bCs w:val="0"/>
                <w:color w:val="auto"/>
                <w:lang w:val="en-US" w:eastAsia="zh-CN"/>
              </w:rPr>
              <w:t>指</w:t>
            </w:r>
            <w:r>
              <w:rPr>
                <w:rFonts w:hint="default" w:ascii="Times New Roman" w:hAnsi="Times New Roman" w:eastAsia="仿宋" w:cs="Times New Roman"/>
                <w:b w:val="0"/>
                <w:bCs w:val="0"/>
                <w:color w:val="auto"/>
                <w:lang w:val="zh-CN" w:eastAsia="zh-CN"/>
              </w:rPr>
              <w:t>除优先保护单元和重点管控单元之外的其他全部区域，以适度发展社会经济、避免大规模高强度开发为导向，执行区域生态环境保护的基本要求</w:t>
            </w:r>
            <w:r>
              <w:rPr>
                <w:rFonts w:hint="default" w:ascii="Times New Roman" w:hAnsi="Times New Roman" w:eastAsia="仿宋" w:cs="Times New Roman"/>
                <w:b w:val="0"/>
                <w:bCs w:val="0"/>
                <w:color w:val="auto"/>
                <w:highlight w:val="none"/>
                <w:lang w:val="en-US" w:eastAsia="zh-CN"/>
              </w:rPr>
              <w:t>。本项目与中卫市生态环境准入清单总体要求符合性分析见表3，与中卫市环境管控单元生态环境准入清单符合性分析见表4。</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b w:val="0"/>
                <w:bCs w:val="0"/>
                <w:color w:val="auto"/>
                <w:lang w:val="en-US" w:eastAsia="zh-CN"/>
              </w:rPr>
            </w:pPr>
            <w:r>
              <w:rPr>
                <w:rFonts w:hint="default" w:ascii="Times New Roman" w:hAnsi="Times New Roman" w:eastAsia="仿宋" w:cs="Times New Roman"/>
                <w:b w:val="0"/>
                <w:bCs w:val="0"/>
                <w:color w:val="auto"/>
                <w:lang w:eastAsia="zh-CN"/>
              </w:rPr>
              <w:t>项目为</w:t>
            </w:r>
            <w:r>
              <w:rPr>
                <w:rFonts w:hint="eastAsia" w:eastAsia="仿宋" w:cs="Times New Roman"/>
                <w:b w:val="0"/>
                <w:bCs w:val="0"/>
                <w:color w:val="auto"/>
                <w:lang w:eastAsia="zh-CN"/>
              </w:rPr>
              <w:t>风电场</w:t>
            </w:r>
            <w:r>
              <w:rPr>
                <w:rFonts w:hint="default" w:ascii="Times New Roman" w:hAnsi="Times New Roman" w:eastAsia="仿宋" w:cs="Times New Roman"/>
                <w:b w:val="0"/>
                <w:bCs w:val="0"/>
                <w:color w:val="auto"/>
                <w:lang w:eastAsia="zh-CN"/>
              </w:rPr>
              <w:t>建设项目，施工期污染物的排放对周围环境影响较小。符合中卫市环境管控单元与准入清单要求。项目与中卫市环境管控单元图位置关系见</w:t>
            </w:r>
            <w:r>
              <w:rPr>
                <w:rFonts w:hint="default" w:ascii="Times New Roman" w:hAnsi="Times New Roman" w:eastAsia="仿宋" w:cs="Times New Roman"/>
                <w:b/>
                <w:bCs/>
                <w:color w:val="auto"/>
                <w:lang w:eastAsia="zh-CN"/>
              </w:rPr>
              <w:t>附图</w:t>
            </w:r>
            <w:r>
              <w:rPr>
                <w:rFonts w:hint="default" w:ascii="Times New Roman" w:hAnsi="Times New Roman" w:eastAsia="仿宋" w:cs="Times New Roman"/>
                <w:b/>
                <w:bCs/>
                <w:color w:val="auto"/>
                <w:lang w:val="en-US" w:eastAsia="zh-CN"/>
              </w:rPr>
              <w:t>2。</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b/>
                <w:bCs/>
                <w:color w:val="auto"/>
                <w:highlight w:val="none"/>
                <w:lang w:eastAsia="zh-CN"/>
              </w:rPr>
            </w:pPr>
            <w:r>
              <w:rPr>
                <w:rFonts w:hint="default" w:ascii="Times New Roman" w:hAnsi="Times New Roman" w:eastAsia="仿宋" w:cs="Times New Roman"/>
                <w:b/>
                <w:bCs/>
                <w:color w:val="auto"/>
                <w:lang w:eastAsia="zh-CN"/>
              </w:rPr>
              <w:t>⑶环</w:t>
            </w:r>
            <w:r>
              <w:rPr>
                <w:rFonts w:hint="default" w:ascii="Times New Roman" w:hAnsi="Times New Roman" w:eastAsia="仿宋" w:cs="Times New Roman"/>
                <w:b/>
                <w:bCs/>
                <w:color w:val="auto"/>
                <w:highlight w:val="none"/>
              </w:rPr>
              <w:t>境质量底线</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①水环境质量底线</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color w:val="auto"/>
                <w:highlight w:val="red"/>
              </w:rPr>
            </w:pPr>
            <w:r>
              <w:rPr>
                <w:rFonts w:hint="default" w:ascii="Times New Roman" w:hAnsi="Times New Roman" w:eastAsia="仿宋" w:cs="Times New Roman"/>
                <w:color w:val="auto"/>
                <w:lang w:eastAsia="zh-CN"/>
              </w:rPr>
              <w:t>根据现场调查及已有资料显示，</w:t>
            </w:r>
            <w:r>
              <w:rPr>
                <w:rFonts w:hint="default" w:ascii="Times New Roman" w:hAnsi="Times New Roman" w:eastAsia="仿宋" w:cs="Times New Roman"/>
                <w:color w:val="auto"/>
                <w:lang w:val="en-US" w:eastAsia="zh-CN"/>
              </w:rPr>
              <w:t>海原风电2地块北侧</w:t>
            </w:r>
            <w:r>
              <w:rPr>
                <w:rFonts w:hint="eastAsia" w:eastAsia="仿宋" w:cs="Times New Roman"/>
                <w:color w:val="auto"/>
                <w:lang w:val="en-US" w:eastAsia="zh-CN"/>
              </w:rPr>
              <w:t>2.0km处为</w:t>
            </w:r>
            <w:r>
              <w:rPr>
                <w:rFonts w:hint="default" w:ascii="Times New Roman" w:hAnsi="Times New Roman" w:eastAsia="仿宋" w:cs="Times New Roman"/>
                <w:color w:val="auto"/>
                <w:lang w:val="en-US" w:eastAsia="zh-CN"/>
              </w:rPr>
              <w:t>西河，属于清水河支流。本次对于清水河的现状评价引用《2022年宁夏生态环境质量状况》中</w:t>
            </w:r>
            <w:r>
              <w:rPr>
                <w:rFonts w:hint="eastAsia" w:eastAsia="仿宋" w:cs="Times New Roman"/>
                <w:color w:val="auto"/>
                <w:lang w:val="en-US" w:eastAsia="zh-CN"/>
              </w:rPr>
              <w:t>王团</w:t>
            </w:r>
            <w:r>
              <w:rPr>
                <w:rFonts w:hint="default" w:ascii="Times New Roman" w:hAnsi="Times New Roman" w:eastAsia="仿宋" w:cs="Times New Roman"/>
                <w:color w:val="auto"/>
                <w:lang w:val="en-US" w:eastAsia="zh-CN"/>
              </w:rPr>
              <w:t>断面，该断面</w:t>
            </w:r>
            <w:r>
              <w:rPr>
                <w:rFonts w:hint="eastAsia" w:eastAsia="仿宋" w:cs="Times New Roman"/>
                <w:color w:val="auto"/>
                <w:lang w:val="en-US" w:eastAsia="zh-CN"/>
              </w:rPr>
              <w:t>除氟化物外，其他各项监测因子</w:t>
            </w:r>
            <w:r>
              <w:rPr>
                <w:rFonts w:hint="default" w:ascii="Times New Roman" w:hAnsi="Times New Roman" w:eastAsia="仿宋" w:cs="Times New Roman"/>
                <w:color w:val="auto"/>
                <w:lang w:val="en-US" w:eastAsia="zh-CN"/>
              </w:rPr>
              <w:t>均可满足《地表水环境质量标准》（GB3838-2002）中</w:t>
            </w:r>
            <w:r>
              <w:rPr>
                <w:rFonts w:hint="default" w:ascii="Times New Roman" w:hAnsi="Times New Roman" w:eastAsia="仿宋" w:cs="Times New Roman"/>
                <w:color w:val="auto"/>
                <w:lang w:val="en-US" w:eastAsia="zh-CN"/>
              </w:rPr>
              <w:fldChar w:fldCharType="begin"/>
            </w:r>
            <w:r>
              <w:rPr>
                <w:rFonts w:hint="default" w:ascii="Times New Roman" w:hAnsi="Times New Roman" w:eastAsia="仿宋" w:cs="Times New Roman"/>
                <w:color w:val="auto"/>
                <w:lang w:val="en-US" w:eastAsia="zh-CN"/>
              </w:rPr>
              <w:instrText xml:space="preserve"> = 4 \* ROMAN \* MERGEFORMAT </w:instrText>
            </w:r>
            <w:r>
              <w:rPr>
                <w:rFonts w:hint="default" w:ascii="Times New Roman" w:hAnsi="Times New Roman" w:eastAsia="仿宋" w:cs="Times New Roman"/>
                <w:color w:val="auto"/>
                <w:lang w:val="en-US" w:eastAsia="zh-CN"/>
              </w:rPr>
              <w:fldChar w:fldCharType="separate"/>
            </w:r>
            <w:r>
              <w:rPr>
                <w:rFonts w:hint="default" w:ascii="Times New Roman" w:hAnsi="Times New Roman" w:eastAsia="仿宋" w:cs="Times New Roman"/>
                <w:color w:val="auto"/>
                <w:lang w:eastAsia="zh-CN"/>
              </w:rPr>
              <w:t>IV</w:t>
            </w:r>
            <w:r>
              <w:rPr>
                <w:rFonts w:hint="default" w:ascii="Times New Roman" w:hAnsi="Times New Roman" w:eastAsia="仿宋" w:cs="Times New Roman"/>
                <w:color w:val="auto"/>
                <w:lang w:val="en-US" w:eastAsia="zh-CN"/>
              </w:rPr>
              <w:fldChar w:fldCharType="end"/>
            </w:r>
            <w:r>
              <w:rPr>
                <w:rFonts w:hint="default" w:ascii="Times New Roman" w:hAnsi="Times New Roman" w:eastAsia="仿宋" w:cs="Times New Roman"/>
                <w:color w:val="auto"/>
                <w:lang w:val="en-US" w:eastAsia="zh-CN"/>
              </w:rPr>
              <w:t>类水质标准要求。</w:t>
            </w:r>
          </w:p>
          <w:p>
            <w:pPr>
              <w:pStyle w:val="49"/>
              <w:keepNext w:val="0"/>
              <w:keepLines w:val="0"/>
              <w:pageBreakBefore w:val="0"/>
              <w:widowControl w:val="0"/>
              <w:kinsoku/>
              <w:wordWrap/>
              <w:topLinePunct w:val="0"/>
              <w:autoSpaceDE/>
              <w:autoSpaceDN/>
              <w:bidi w:val="0"/>
              <w:adjustRightInd w:val="0"/>
              <w:snapToGrid w:val="0"/>
              <w:spacing w:line="336" w:lineRule="auto"/>
              <w:rPr>
                <w:rFonts w:hint="default" w:ascii="Times New Roman" w:hAnsi="Times New Roman" w:eastAsia="仿宋" w:cs="Times New Roman"/>
                <w:color w:val="auto"/>
              </w:rPr>
            </w:pPr>
            <w:r>
              <w:rPr>
                <w:rFonts w:hint="default" w:ascii="Times New Roman" w:hAnsi="Times New Roman" w:eastAsia="仿宋" w:cs="Times New Roman"/>
                <w:color w:val="auto"/>
              </w:rPr>
              <w:t>中卫市水环境管控分区共分为三大类：水环境优先保护区、水环境重点管控区（含水环境工业污染源重点管控区、水环境农业污染源重点管控区、水</w:t>
            </w:r>
            <w:r>
              <w:rPr>
                <w:rFonts w:hint="default" w:ascii="Times New Roman" w:hAnsi="Times New Roman" w:eastAsia="仿宋" w:cs="Times New Roman"/>
                <w:color w:val="auto"/>
                <w:highlight w:val="none"/>
              </w:rPr>
              <w:t>环境城镇生活污染源重点管控区）和水环境一般管控区。本项目位于中卫市水环境管控分区中的一般管控区</w:t>
            </w:r>
            <w:r>
              <w:rPr>
                <w:rFonts w:hint="default" w:ascii="Times New Roman" w:hAnsi="Times New Roman" w:eastAsia="仿宋" w:cs="Times New Roman"/>
                <w:color w:val="auto"/>
                <w:highlight w:val="none"/>
                <w:lang w:eastAsia="zh-CN"/>
              </w:rPr>
              <w:t>（本项目与中卫市水环境分区管控位置关系见</w:t>
            </w:r>
            <w:r>
              <w:rPr>
                <w:rFonts w:hint="default" w:ascii="Times New Roman" w:hAnsi="Times New Roman" w:eastAsia="仿宋" w:cs="Times New Roman"/>
                <w:b/>
                <w:bCs/>
                <w:color w:val="auto"/>
                <w:highlight w:val="none"/>
                <w:lang w:eastAsia="zh-CN"/>
              </w:rPr>
              <w:t>附图</w:t>
            </w:r>
            <w:r>
              <w:rPr>
                <w:rFonts w:hint="eastAsia" w:eastAsia="仿宋" w:cs="Times New Roman"/>
                <w:b/>
                <w:bCs/>
                <w:color w:val="auto"/>
                <w:highlight w:val="none"/>
                <w:lang w:val="en-US" w:eastAsia="zh-CN"/>
              </w:rPr>
              <w:t>3</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。水环境一般管控区是水环境优先保护区、重点管控区以外的所有区域，</w:t>
            </w:r>
            <w:r>
              <w:rPr>
                <w:rFonts w:hint="default" w:ascii="Times New Roman" w:hAnsi="Times New Roman" w:eastAsia="仿宋" w:cs="Times New Roman"/>
                <w:color w:val="auto"/>
              </w:rPr>
              <w:t>水环境一般管控区应落实《中华人民共和国水污染防治法》等相关法律法规的总体要求，加强水资源节约和保护，积极推动水生态修复治理，持续深入推进水污染防治，改善水环境质</w:t>
            </w:r>
            <w:r>
              <w:rPr>
                <w:rFonts w:hint="default" w:ascii="Times New Roman" w:hAnsi="Times New Roman" w:eastAsia="仿宋" w:cs="Times New Roman"/>
                <w:color w:val="auto"/>
                <w:lang w:eastAsia="zh-CN"/>
              </w:rPr>
              <w:t>量。本项目运营期没有外排废水，</w:t>
            </w:r>
            <w:r>
              <w:rPr>
                <w:rFonts w:hint="default" w:ascii="Times New Roman" w:hAnsi="Times New Roman" w:eastAsia="仿宋" w:cs="Times New Roman"/>
                <w:color w:val="auto"/>
              </w:rPr>
              <w:t>符合中卫市水环境质量底线一般管控区要求。</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②大气环境质量底线</w:t>
            </w:r>
          </w:p>
          <w:p>
            <w:pPr>
              <w:pStyle w:val="38"/>
              <w:keepNext w:val="0"/>
              <w:keepLines w:val="0"/>
              <w:pageBreakBefore w:val="0"/>
              <w:widowControl w:val="0"/>
              <w:kinsoku/>
              <w:wordWrap/>
              <w:topLinePunct w:val="0"/>
              <w:bidi w:val="0"/>
              <w:adjustRightInd w:val="0"/>
              <w:snapToGrid w:val="0"/>
              <w:spacing w:line="336" w:lineRule="auto"/>
              <w:ind w:firstLine="480" w:firstLineChars="200"/>
              <w:jc w:val="both"/>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根据</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highlight w:val="none"/>
                <w:lang w:eastAsia="zh-CN"/>
              </w:rPr>
              <w:t>202</w:t>
            </w:r>
            <w:r>
              <w:rPr>
                <w:rFonts w:hint="default" w:ascii="Times New Roman" w:hAnsi="Times New Roman" w:eastAsia="仿宋" w:cs="Times New Roman"/>
                <w:b w:val="0"/>
                <w:bCs w:val="0"/>
                <w:color w:val="auto"/>
                <w:sz w:val="24"/>
                <w:szCs w:val="24"/>
                <w:highlight w:val="none"/>
                <w:lang w:val="en-US" w:eastAsia="zh-CN"/>
              </w:rPr>
              <w:t>2</w:t>
            </w:r>
            <w:r>
              <w:rPr>
                <w:rFonts w:hint="default" w:ascii="Times New Roman" w:hAnsi="Times New Roman" w:eastAsia="仿宋" w:cs="Times New Roman"/>
                <w:b w:val="0"/>
                <w:bCs w:val="0"/>
                <w:color w:val="auto"/>
                <w:sz w:val="24"/>
                <w:szCs w:val="24"/>
                <w:highlight w:val="none"/>
                <w:lang w:eastAsia="zh-CN"/>
              </w:rPr>
              <w:t>年宁夏生态环境质量报告</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公布的监测数据对项目达标区判定。所在区域</w:t>
            </w:r>
            <w:r>
              <w:rPr>
                <w:rFonts w:hint="default" w:ascii="Times New Roman" w:hAnsi="Times New Roman" w:eastAsia="仿宋" w:cs="Times New Roman"/>
                <w:b w:val="0"/>
                <w:bCs w:val="0"/>
                <w:color w:val="auto"/>
                <w:sz w:val="24"/>
                <w:szCs w:val="24"/>
                <w:lang w:eastAsia="zh-CN"/>
              </w:rPr>
              <w:t>中卫市</w:t>
            </w:r>
            <w:r>
              <w:rPr>
                <w:rFonts w:hint="default" w:ascii="Times New Roman" w:hAnsi="Times New Roman" w:eastAsia="仿宋" w:cs="Times New Roman"/>
                <w:b w:val="0"/>
                <w:bCs w:val="0"/>
                <w:color w:val="auto"/>
                <w:sz w:val="24"/>
                <w:szCs w:val="24"/>
              </w:rPr>
              <w:t>SO</w:t>
            </w:r>
            <w:r>
              <w:rPr>
                <w:rFonts w:hint="default" w:ascii="Times New Roman" w:hAnsi="Times New Roman" w:eastAsia="仿宋" w:cs="Times New Roman"/>
                <w:b w:val="0"/>
                <w:bCs w:val="0"/>
                <w:color w:val="auto"/>
                <w:sz w:val="24"/>
                <w:szCs w:val="24"/>
                <w:vertAlign w:val="subscript"/>
              </w:rPr>
              <w:t>2</w:t>
            </w:r>
            <w:r>
              <w:rPr>
                <w:rFonts w:hint="default" w:ascii="Times New Roman" w:hAnsi="Times New Roman" w:eastAsia="仿宋" w:cs="Times New Roman"/>
                <w:b w:val="0"/>
                <w:bCs w:val="0"/>
                <w:color w:val="auto"/>
                <w:sz w:val="24"/>
                <w:szCs w:val="24"/>
              </w:rPr>
              <w:t>、NO</w:t>
            </w:r>
            <w:r>
              <w:rPr>
                <w:rFonts w:hint="default" w:ascii="Times New Roman" w:hAnsi="Times New Roman" w:eastAsia="仿宋" w:cs="Times New Roman"/>
                <w:b w:val="0"/>
                <w:bCs w:val="0"/>
                <w:color w:val="auto"/>
                <w:sz w:val="24"/>
                <w:szCs w:val="24"/>
                <w:vertAlign w:val="subscript"/>
              </w:rPr>
              <w:t>2</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PM</w:t>
            </w:r>
            <w:r>
              <w:rPr>
                <w:rFonts w:hint="default" w:ascii="Times New Roman" w:hAnsi="Times New Roman" w:eastAsia="仿宋" w:cs="Times New Roman"/>
                <w:b w:val="0"/>
                <w:bCs w:val="0"/>
                <w:color w:val="auto"/>
                <w:sz w:val="24"/>
                <w:szCs w:val="24"/>
                <w:vertAlign w:val="subscript"/>
              </w:rPr>
              <w:t>10</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PM</w:t>
            </w:r>
            <w:r>
              <w:rPr>
                <w:rFonts w:hint="default" w:ascii="Times New Roman" w:hAnsi="Times New Roman" w:eastAsia="仿宋" w:cs="Times New Roman"/>
                <w:b w:val="0"/>
                <w:bCs w:val="0"/>
                <w:color w:val="auto"/>
                <w:sz w:val="24"/>
                <w:szCs w:val="24"/>
                <w:vertAlign w:val="subscript"/>
              </w:rPr>
              <w:t>2.5</w:t>
            </w:r>
            <w:r>
              <w:rPr>
                <w:rFonts w:hint="default" w:ascii="Times New Roman" w:hAnsi="Times New Roman" w:eastAsia="仿宋" w:cs="Times New Roman"/>
                <w:b w:val="0"/>
                <w:bCs w:val="0"/>
                <w:color w:val="auto"/>
                <w:sz w:val="24"/>
                <w:szCs w:val="24"/>
              </w:rPr>
              <w:t>年平均浓度和CO特定百分位数浓度及O</w:t>
            </w:r>
            <w:r>
              <w:rPr>
                <w:rFonts w:hint="default" w:ascii="Times New Roman" w:hAnsi="Times New Roman" w:eastAsia="仿宋" w:cs="Times New Roman"/>
                <w:b w:val="0"/>
                <w:bCs w:val="0"/>
                <w:color w:val="auto"/>
                <w:sz w:val="24"/>
                <w:szCs w:val="24"/>
                <w:vertAlign w:val="subscript"/>
              </w:rPr>
              <w:t>3</w:t>
            </w:r>
            <w:r>
              <w:rPr>
                <w:rFonts w:hint="default" w:ascii="Times New Roman" w:hAnsi="Times New Roman" w:eastAsia="仿宋" w:cs="Times New Roman"/>
                <w:b w:val="0"/>
                <w:bCs w:val="0"/>
                <w:color w:val="auto"/>
                <w:sz w:val="24"/>
                <w:szCs w:val="24"/>
              </w:rPr>
              <w:t>特定百分位数浓度均</w:t>
            </w:r>
            <w:r>
              <w:rPr>
                <w:rFonts w:hint="default" w:ascii="Times New Roman" w:hAnsi="Times New Roman" w:eastAsia="仿宋" w:cs="Times New Roman"/>
                <w:b w:val="0"/>
                <w:bCs w:val="0"/>
                <w:color w:val="auto"/>
                <w:sz w:val="24"/>
                <w:szCs w:val="24"/>
                <w:lang w:eastAsia="zh-CN"/>
              </w:rPr>
              <w:t>满足</w:t>
            </w:r>
            <w:r>
              <w:rPr>
                <w:rFonts w:hint="default" w:ascii="Times New Roman" w:hAnsi="Times New Roman" w:eastAsia="仿宋" w:cs="Times New Roman"/>
                <w:b w:val="0"/>
                <w:bCs w:val="0"/>
                <w:color w:val="auto"/>
                <w:sz w:val="24"/>
                <w:szCs w:val="24"/>
              </w:rPr>
              <w:t>《环境空气质量标准》（GB3095-2012）</w:t>
            </w:r>
            <w:r>
              <w:rPr>
                <w:rFonts w:hint="default" w:ascii="Times New Roman" w:hAnsi="Times New Roman" w:eastAsia="仿宋" w:cs="Times New Roman"/>
                <w:b w:val="0"/>
                <w:bCs w:val="0"/>
                <w:color w:val="auto"/>
                <w:sz w:val="24"/>
                <w:szCs w:val="24"/>
                <w:lang w:val="en-US" w:eastAsia="zh-CN"/>
              </w:rPr>
              <w:t>及2018修改单</w:t>
            </w:r>
            <w:r>
              <w:rPr>
                <w:rFonts w:hint="default" w:ascii="Times New Roman" w:hAnsi="Times New Roman" w:eastAsia="仿宋" w:cs="Times New Roman"/>
                <w:b w:val="0"/>
                <w:bCs w:val="0"/>
                <w:color w:val="auto"/>
                <w:sz w:val="24"/>
                <w:szCs w:val="24"/>
              </w:rPr>
              <w:t>二级标准要求</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项目所在区为达标区。</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color w:val="auto"/>
                <w:highlight w:val="yellow"/>
                <w:lang w:eastAsia="zh-CN"/>
              </w:rPr>
            </w:pPr>
            <w:r>
              <w:rPr>
                <w:rFonts w:hint="default" w:ascii="Times New Roman" w:hAnsi="Times New Roman" w:eastAsia="仿宋" w:cs="Times New Roman"/>
                <w:b w:val="0"/>
                <w:bCs w:val="0"/>
                <w:color w:val="auto"/>
                <w:szCs w:val="24"/>
              </w:rPr>
              <w:t>基于大气环境脆弱性、敏感性、重要性评价结果，考虑大气污染传输规律和城市用地特征，识别网格单元主导属性，将中卫市划分为大气环境优先保护区、大气环境重点管控区和大气环境一般管控区。</w:t>
            </w:r>
            <w:r>
              <w:rPr>
                <w:rFonts w:hint="default" w:ascii="Times New Roman" w:hAnsi="Times New Roman" w:eastAsia="仿宋" w:cs="Times New Roman"/>
                <w:b w:val="0"/>
                <w:bCs w:val="0"/>
                <w:color w:val="auto"/>
                <w:szCs w:val="24"/>
                <w:highlight w:val="none"/>
              </w:rPr>
              <w:t>本项目建设地点位于中卫市</w:t>
            </w:r>
            <w:r>
              <w:rPr>
                <w:rFonts w:hint="default" w:ascii="Times New Roman" w:hAnsi="Times New Roman" w:eastAsia="仿宋" w:cs="Times New Roman"/>
                <w:b w:val="0"/>
                <w:bCs w:val="0"/>
                <w:color w:val="auto"/>
                <w:szCs w:val="24"/>
                <w:highlight w:val="none"/>
                <w:lang w:eastAsia="zh-CN"/>
              </w:rPr>
              <w:t>大气环境一般管控区（本项目与中卫市大气环境分区管控位置关</w:t>
            </w:r>
            <w:r>
              <w:rPr>
                <w:rFonts w:hint="default" w:ascii="Times New Roman" w:hAnsi="Times New Roman" w:eastAsia="仿宋" w:cs="Times New Roman"/>
                <w:color w:val="auto"/>
                <w:highlight w:val="none"/>
                <w:lang w:eastAsia="zh-CN"/>
              </w:rPr>
              <w:t>系见</w:t>
            </w:r>
            <w:r>
              <w:rPr>
                <w:rFonts w:hint="default" w:ascii="Times New Roman" w:hAnsi="Times New Roman" w:eastAsia="仿宋" w:cs="Times New Roman"/>
                <w:b/>
                <w:bCs/>
                <w:color w:val="auto"/>
                <w:highlight w:val="none"/>
                <w:lang w:eastAsia="zh-CN"/>
              </w:rPr>
              <w:t>附图</w:t>
            </w:r>
            <w:r>
              <w:rPr>
                <w:rFonts w:hint="eastAsia" w:eastAsia="仿宋" w:cs="Times New Roman"/>
                <w:b/>
                <w:bCs/>
                <w:color w:val="auto"/>
                <w:highlight w:val="none"/>
                <w:lang w:val="en-US" w:eastAsia="zh-CN"/>
              </w:rPr>
              <w:t>4</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大气环境一般管控区：落实《中华人民共和国大气污染防治法》等相</w:t>
            </w:r>
            <w:r>
              <w:rPr>
                <w:rFonts w:hint="default" w:ascii="Times New Roman" w:hAnsi="Times New Roman" w:eastAsia="仿宋" w:cs="Times New Roman"/>
                <w:color w:val="auto"/>
                <w:lang w:val="en-US" w:eastAsia="zh-CN"/>
              </w:rPr>
              <w:t>关法律法规的一般要求，在满足区域基本的污染物排放标准和污染防治要求基础上，进一步采用更清洁的生产方式和更有效的污染治理措施，推动区域环境空气质量持续改善。毗邻大气环境优先保护区的新建项目，还应特别注意污染物排放对优先保护区的影响，应优化选址方案或采取有效的污染防治措施，避免对一类区空气质量造成</w:t>
            </w:r>
            <w:r>
              <w:rPr>
                <w:rFonts w:hint="default" w:ascii="Times New Roman" w:hAnsi="Times New Roman" w:eastAsia="仿宋" w:cs="Times New Roman"/>
                <w:color w:val="auto"/>
                <w:highlight w:val="none"/>
                <w:lang w:val="en-US" w:eastAsia="zh-CN"/>
              </w:rPr>
              <w:t>不利影响。</w:t>
            </w:r>
            <w:r>
              <w:rPr>
                <w:rFonts w:hint="default" w:ascii="Times New Roman" w:hAnsi="Times New Roman" w:eastAsia="仿宋" w:cs="Times New Roman"/>
                <w:color w:val="auto"/>
                <w:highlight w:val="none"/>
                <w:lang w:eastAsia="zh-CN"/>
              </w:rPr>
              <w:t>本项目施工期及时清运建筑垃圾，施工结束后对临时占地进行必要的地表整平、绿化、美化，与原地貌保持一致；粉料运输车辆控制车速，并采取少量洒水与遮蔽抑尘措施；施工生活生产区料场远离敏感点、设置挡风围墙、洒水保湿等；建成后废气主要为少量的汽车尾气，不会对项目周边环境空气质量造成不利影响，</w:t>
            </w:r>
            <w:r>
              <w:rPr>
                <w:rFonts w:hint="default" w:ascii="Times New Roman" w:hAnsi="Times New Roman" w:eastAsia="仿宋" w:cs="Times New Roman"/>
                <w:color w:val="auto"/>
                <w:highlight w:val="none"/>
              </w:rPr>
              <w:t>符合中卫市大气环境质量底线大气环境</w:t>
            </w:r>
            <w:r>
              <w:rPr>
                <w:rFonts w:hint="default" w:ascii="Times New Roman" w:hAnsi="Times New Roman" w:eastAsia="仿宋" w:cs="Times New Roman"/>
                <w:color w:val="auto"/>
                <w:highlight w:val="none"/>
                <w:lang w:eastAsia="zh-CN"/>
              </w:rPr>
              <w:t>一般管控区要求。</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③土壤污染风险防控底线及分区管控</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rPr>
              <w:t>根据土壤环境质量现状、土地利用现状，综合考虑全市农用地土壤污染状况详查和重点行业企业用地详查结果，衔接现有污染地块名录、土壤环境重点监管企业清单等，将中卫市划分为农用地优先保护区、建设用地污染风险重点管控区和土壤环境一般管控区。本项目位于中卫市土壤环境一般管</w:t>
            </w:r>
            <w:r>
              <w:rPr>
                <w:rFonts w:hint="default" w:ascii="Times New Roman" w:hAnsi="Times New Roman" w:eastAsia="仿宋" w:cs="Times New Roman"/>
                <w:color w:val="auto"/>
                <w:highlight w:val="none"/>
              </w:rPr>
              <w:t>控区域</w:t>
            </w:r>
            <w:r>
              <w:rPr>
                <w:rFonts w:hint="eastAsia" w:eastAsia="仿宋" w:cs="Times New Roman"/>
                <w:color w:val="auto"/>
                <w:highlight w:val="none"/>
                <w:lang w:eastAsia="zh-CN"/>
              </w:rPr>
              <w:t>和农用地优先保护区</w:t>
            </w:r>
            <w:r>
              <w:rPr>
                <w:rFonts w:hint="default" w:ascii="Times New Roman" w:hAnsi="Times New Roman" w:eastAsia="仿宋" w:cs="Times New Roman"/>
                <w:color w:val="auto"/>
                <w:highlight w:val="none"/>
                <w:lang w:eastAsia="zh-CN"/>
              </w:rPr>
              <w:t>（本项目与中卫市土壤污染风险分区管控位置关系见</w:t>
            </w:r>
            <w:r>
              <w:rPr>
                <w:rFonts w:hint="default" w:ascii="Times New Roman" w:hAnsi="Times New Roman" w:eastAsia="仿宋" w:cs="Times New Roman"/>
                <w:b/>
                <w:bCs/>
                <w:color w:val="auto"/>
                <w:highlight w:val="none"/>
                <w:lang w:eastAsia="zh-CN"/>
              </w:rPr>
              <w:t>附图</w:t>
            </w:r>
            <w:r>
              <w:rPr>
                <w:rFonts w:hint="eastAsia" w:eastAsia="仿宋" w:cs="Times New Roman"/>
                <w:b/>
                <w:bCs/>
                <w:color w:val="auto"/>
                <w:highlight w:val="none"/>
                <w:lang w:val="en-US" w:eastAsia="zh-CN"/>
              </w:rPr>
              <w:t>5</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rPr>
              <w:t>土壤环境一般管控区域</w:t>
            </w:r>
            <w:r>
              <w:rPr>
                <w:rFonts w:hint="default" w:ascii="Times New Roman" w:hAnsi="Times New Roman" w:eastAsia="仿宋" w:cs="Times New Roman"/>
                <w:b w:val="0"/>
                <w:bCs w:val="0"/>
                <w:color w:val="auto"/>
                <w:lang w:eastAsia="zh-CN"/>
              </w:rPr>
              <w:t>：</w:t>
            </w:r>
            <w:r>
              <w:rPr>
                <w:rFonts w:hint="default" w:ascii="Times New Roman" w:hAnsi="Times New Roman" w:eastAsia="仿宋" w:cs="Times New Roman"/>
                <w:color w:val="auto"/>
              </w:rPr>
              <w:t>在编制国土空间规划等相关规划时，应充分考虑</w:t>
            </w:r>
          </w:p>
          <w:p>
            <w:pPr>
              <w:pStyle w:val="49"/>
              <w:keepNext w:val="0"/>
              <w:keepLines w:val="0"/>
              <w:pageBreakBefore w:val="0"/>
              <w:widowControl w:val="0"/>
              <w:kinsoku/>
              <w:wordWrap/>
              <w:topLinePunct w:val="0"/>
              <w:bidi w:val="0"/>
              <w:adjustRightInd w:val="0"/>
              <w:snapToGrid w:val="0"/>
              <w:spacing w:line="336" w:lineRule="auto"/>
              <w:ind w:left="0" w:leftChars="0"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污染地块的环境风险，合理确定土地用途。禁止在居民区、学校、医疗和养老机构等周边新建有色金属冶炼、焦化等行业企业。排放重点污染物的建设项目，在开展环境影响评价时，要增加对土壤环境影响的评价内容，并提出防范土壤污染的具体措施；需建设的土壤污染防治设施，要与主体工程同时设计、同时施工、同时投产使用。</w:t>
            </w:r>
            <w:r>
              <w:rPr>
                <w:rFonts w:hint="default" w:ascii="Times New Roman" w:hAnsi="Times New Roman" w:eastAsia="仿宋" w:cs="Times New Roman"/>
                <w:color w:val="auto"/>
                <w:lang w:eastAsia="zh-CN"/>
              </w:rPr>
              <w:t>农用地优先保护区</w:t>
            </w:r>
            <w:r>
              <w:rPr>
                <w:rFonts w:hint="eastAsia" w:eastAsia="仿宋" w:cs="Times New Roman"/>
                <w:color w:val="auto"/>
                <w:lang w:eastAsia="zh-CN"/>
              </w:rPr>
              <w:t>：</w:t>
            </w:r>
            <w:r>
              <w:rPr>
                <w:rFonts w:hint="default" w:ascii="Times New Roman" w:hAnsi="Times New Roman" w:eastAsia="仿宋" w:cs="Times New Roman"/>
                <w:color w:val="auto"/>
                <w:lang w:val="en-US" w:eastAsia="zh-CN"/>
              </w:rPr>
              <w:t>实行严格保护，确保其面积不减少、土壤环境质量不下降，除法律规定的重点建设项目选址确实无法避让外，其他任何建设不得占用。严格控制在优先保护类耕地集中区域新建有色金属冶炼、石油加工、化工、焦化、电镀、制革等行业企业，现有相关行业企业应当按照有关规定采取措施，防止对耕地造成污染。禁止任何单位和个人在基本农田保护区内建窑、建房、建坟、挖砂、采石、采矿、取土、堆放固体废弃物或者进行其他破坏基本农田的活动。</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color w:val="auto"/>
                <w:lang w:val="en-US" w:eastAsia="zh-CN"/>
              </w:rPr>
            </w:pPr>
            <w:r>
              <w:rPr>
                <w:rFonts w:hint="eastAsia" w:eastAsia="仿宋" w:cs="Times New Roman"/>
                <w:color w:val="auto"/>
                <w:lang w:val="en-US" w:eastAsia="zh-CN"/>
              </w:rPr>
              <w:t>本项目永久占地为农用地，</w:t>
            </w:r>
            <w:r>
              <w:rPr>
                <w:rFonts w:hint="default" w:ascii="Times New Roman" w:hAnsi="Times New Roman" w:eastAsia="仿宋" w:cs="Times New Roman"/>
                <w:color w:val="auto"/>
                <w:highlight w:val="none"/>
                <w:lang w:val="en-US" w:eastAsia="zh-CN"/>
              </w:rPr>
              <w:t>项目选址不占用基本农田，</w:t>
            </w:r>
            <w:r>
              <w:rPr>
                <w:rFonts w:hint="default" w:ascii="Times New Roman" w:hAnsi="Times New Roman" w:eastAsia="仿宋" w:cs="Times New Roman"/>
                <w:color w:val="auto"/>
                <w:lang w:eastAsia="zh-CN"/>
              </w:rPr>
              <w:t>且</w:t>
            </w:r>
            <w:r>
              <w:rPr>
                <w:rFonts w:hint="default" w:ascii="Times New Roman" w:hAnsi="Times New Roman" w:eastAsia="仿宋" w:cs="Times New Roman"/>
                <w:color w:val="auto"/>
                <w:lang w:val="en-US" w:eastAsia="zh-CN"/>
              </w:rPr>
              <w:t>本项目为</w:t>
            </w:r>
            <w:r>
              <w:rPr>
                <w:rFonts w:hint="eastAsia" w:eastAsia="仿宋" w:cs="Times New Roman"/>
                <w:color w:val="auto"/>
                <w:lang w:val="en-US" w:eastAsia="zh-CN"/>
              </w:rPr>
              <w:t>风电场</w:t>
            </w:r>
            <w:r>
              <w:rPr>
                <w:rFonts w:hint="default" w:ascii="Times New Roman" w:hAnsi="Times New Roman" w:eastAsia="仿宋" w:cs="Times New Roman"/>
                <w:color w:val="auto"/>
                <w:lang w:val="en-US" w:eastAsia="zh-CN"/>
              </w:rPr>
              <w:t>建设项目，不属于有色金属冶炼、焦化等行业企业；本项目施工期结束后对临时占地进行土地整治、复垦，恢复土地原有样貌。故项目建设符合中卫市土壤分区管控要求。</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综上，本项目建设符合环境质量底线要求。</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b/>
                <w:bCs/>
                <w:color w:val="auto"/>
                <w:lang w:eastAsia="zh-CN"/>
              </w:rPr>
            </w:pPr>
            <w:r>
              <w:rPr>
                <w:rFonts w:hint="default" w:ascii="Times New Roman" w:hAnsi="Times New Roman" w:eastAsia="仿宋" w:cs="Times New Roman"/>
                <w:b/>
                <w:bCs/>
                <w:color w:val="auto"/>
                <w:lang w:eastAsia="zh-CN"/>
              </w:rPr>
              <w:t>⑶</w:t>
            </w:r>
            <w:r>
              <w:rPr>
                <w:rFonts w:hint="default" w:ascii="Times New Roman" w:hAnsi="Times New Roman" w:eastAsia="仿宋" w:cs="Times New Roman"/>
                <w:b/>
                <w:bCs/>
                <w:color w:val="auto"/>
              </w:rPr>
              <w:t>资源利用上线</w:t>
            </w:r>
            <w:r>
              <w:rPr>
                <w:rFonts w:hint="default" w:ascii="Times New Roman" w:hAnsi="Times New Roman" w:eastAsia="仿宋" w:cs="Times New Roman"/>
                <w:b/>
                <w:bCs/>
                <w:color w:val="auto"/>
                <w:lang w:eastAsia="zh-CN"/>
              </w:rPr>
              <w:t>及分区管控</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①能源（煤炭）资源利用上线及分区管控</w:t>
            </w:r>
          </w:p>
          <w:p>
            <w:pPr>
              <w:pStyle w:val="49"/>
              <w:keepNext w:val="0"/>
              <w:keepLines w:val="0"/>
              <w:pageBreakBefore w:val="0"/>
              <w:widowControl w:val="0"/>
              <w:kinsoku/>
              <w:wordWrap/>
              <w:topLinePunct w:val="0"/>
              <w:bidi w:val="0"/>
              <w:adjustRightInd w:val="0"/>
              <w:snapToGrid w:val="0"/>
              <w:spacing w:line="336" w:lineRule="auto"/>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本项目</w:t>
            </w:r>
            <w:r>
              <w:rPr>
                <w:rFonts w:hint="eastAsia" w:eastAsia="仿宋" w:cs="Times New Roman"/>
                <w:color w:val="auto"/>
                <w:lang w:eastAsia="zh-CN"/>
              </w:rPr>
              <w:t>为风电场建设</w:t>
            </w:r>
            <w:r>
              <w:rPr>
                <w:rFonts w:hint="default" w:ascii="Times New Roman" w:hAnsi="Times New Roman" w:eastAsia="仿宋" w:cs="Times New Roman"/>
                <w:color w:val="auto"/>
              </w:rPr>
              <w:t>，项目建设不</w:t>
            </w:r>
            <w:r>
              <w:rPr>
                <w:rFonts w:hint="default" w:ascii="Times New Roman" w:hAnsi="Times New Roman" w:eastAsia="仿宋" w:cs="Times New Roman"/>
                <w:color w:val="auto"/>
                <w:lang w:eastAsia="zh-CN"/>
              </w:rPr>
              <w:t>涉及</w:t>
            </w:r>
            <w:r>
              <w:rPr>
                <w:rFonts w:hint="default" w:ascii="Times New Roman" w:hAnsi="Times New Roman" w:eastAsia="仿宋" w:cs="Times New Roman"/>
                <w:color w:val="auto"/>
              </w:rPr>
              <w:t>中卫市能源（煤炭）资源利用上线。</w:t>
            </w:r>
          </w:p>
          <w:p>
            <w:pPr>
              <w:pStyle w:val="49"/>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rPr>
            </w:pPr>
            <w:r>
              <w:rPr>
                <w:rFonts w:hint="default" w:ascii="Times New Roman" w:hAnsi="Times New Roman" w:eastAsia="仿宋" w:cs="Times New Roman"/>
                <w:color w:val="auto"/>
              </w:rPr>
              <w:t>②水资源利用上线及分区管控</w:t>
            </w:r>
          </w:p>
          <w:p>
            <w:pPr>
              <w:pStyle w:val="49"/>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rPr>
            </w:pPr>
            <w:r>
              <w:rPr>
                <w:rFonts w:hint="default" w:ascii="Times New Roman" w:hAnsi="Times New Roman" w:eastAsia="仿宋" w:cs="Times New Roman"/>
                <w:color w:val="auto"/>
                <w:highlight w:val="none"/>
                <w:lang w:eastAsia="zh-CN"/>
              </w:rPr>
              <w:t>本项目用水主要为施工期生活用水</w:t>
            </w:r>
            <w:r>
              <w:rPr>
                <w:rFonts w:hint="eastAsia" w:eastAsia="仿宋" w:cs="Times New Roman"/>
                <w:color w:val="auto"/>
                <w:highlight w:val="none"/>
                <w:lang w:eastAsia="zh-CN"/>
              </w:rPr>
              <w:t>和生产用水</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本工程施工用水采用汽车拉运至各机位现场。在工程施工临建区设置生活水箱，经沉淀、净化设备净化处理后作为生活用水。另外在风机施工现场需设置移动式蓄水箱作为补充。</w:t>
            </w:r>
            <w:r>
              <w:rPr>
                <w:rFonts w:hint="default" w:ascii="Times New Roman" w:hAnsi="Times New Roman" w:eastAsia="仿宋" w:cs="Times New Roman"/>
                <w:color w:val="auto"/>
                <w:highlight w:val="none"/>
                <w:lang w:eastAsia="zh-CN"/>
              </w:rPr>
              <w:t>项目水资源消耗量相对区域资源利用总量较小，</w:t>
            </w:r>
            <w:r>
              <w:rPr>
                <w:rFonts w:hint="default" w:ascii="Times New Roman" w:hAnsi="Times New Roman" w:eastAsia="仿宋" w:cs="Times New Roman"/>
                <w:color w:val="auto"/>
              </w:rPr>
              <w:t>符合水资源利用上线要求。</w:t>
            </w:r>
          </w:p>
          <w:p>
            <w:pPr>
              <w:pStyle w:val="49"/>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rPr>
            </w:pPr>
            <w:r>
              <w:rPr>
                <w:rFonts w:hint="default" w:ascii="Times New Roman" w:hAnsi="Times New Roman" w:eastAsia="仿宋" w:cs="Times New Roman"/>
                <w:color w:val="auto"/>
              </w:rPr>
              <w:t>③土地资源利用上线及分区管控</w:t>
            </w:r>
          </w:p>
          <w:p>
            <w:pPr>
              <w:pStyle w:val="49"/>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rPr>
            </w:pPr>
            <w:r>
              <w:rPr>
                <w:rFonts w:hint="default" w:ascii="Times New Roman" w:hAnsi="Times New Roman" w:eastAsia="仿宋" w:cs="Times New Roman"/>
                <w:color w:val="auto"/>
              </w:rPr>
              <w:t>本项目永久占地涉及</w:t>
            </w:r>
            <w:r>
              <w:rPr>
                <w:rFonts w:hint="default" w:ascii="Times New Roman" w:hAnsi="Times New Roman" w:eastAsia="仿宋" w:cs="Times New Roman"/>
                <w:color w:val="auto"/>
                <w:highlight w:val="none"/>
              </w:rPr>
              <w:t>占用</w:t>
            </w:r>
            <w:r>
              <w:rPr>
                <w:rFonts w:hint="eastAsia" w:eastAsia="仿宋" w:cs="Times New Roman"/>
                <w:color w:val="auto"/>
                <w:highlight w:val="none"/>
                <w:lang w:eastAsia="zh-CN"/>
              </w:rPr>
              <w:t>农用地</w:t>
            </w:r>
            <w:r>
              <w:rPr>
                <w:rFonts w:hint="default" w:ascii="Times New Roman" w:hAnsi="Times New Roman" w:eastAsia="仿宋" w:cs="Times New Roman"/>
                <w:color w:val="auto"/>
                <w:highlight w:val="none"/>
              </w:rPr>
              <w:t>，</w:t>
            </w:r>
            <w:r>
              <w:rPr>
                <w:rFonts w:hint="default" w:ascii="Times New Roman" w:hAnsi="Times New Roman" w:eastAsia="仿宋" w:cs="Times New Roman"/>
                <w:color w:val="auto"/>
              </w:rPr>
              <w:t>不占用基本农田</w:t>
            </w:r>
            <w:r>
              <w:rPr>
                <w:rFonts w:hint="eastAsia" w:eastAsia="仿宋" w:cs="Times New Roman"/>
                <w:color w:val="auto"/>
                <w:lang w:eastAsia="zh-CN"/>
              </w:rPr>
              <w:t>。</w:t>
            </w:r>
            <w:r>
              <w:rPr>
                <w:rFonts w:hint="default" w:ascii="Times New Roman" w:hAnsi="Times New Roman" w:eastAsia="仿宋" w:cs="Times New Roman"/>
                <w:color w:val="auto"/>
              </w:rPr>
              <w:t>项目临时工程施工结束后采取种植当地适宜植物等有效方式及时进行生态恢复，施工结束后，所有施工场地应拆除临时建筑物，清除建筑垃圾，尽可能的恢复原有土地的功能，提高土地集约化利用程度和开发利用效益要求；符合土地资源利用上线要求。</w:t>
            </w:r>
          </w:p>
          <w:p>
            <w:pPr>
              <w:pStyle w:val="49"/>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rPr>
            </w:pPr>
            <w:r>
              <w:rPr>
                <w:rFonts w:hint="default" w:ascii="Times New Roman" w:hAnsi="Times New Roman" w:eastAsia="仿宋" w:cs="Times New Roman"/>
                <w:color w:val="auto"/>
                <w:lang w:eastAsia="zh-CN"/>
              </w:rPr>
              <w:t>综上分析，本项目符合资源利用上线要求。</w:t>
            </w:r>
          </w:p>
          <w:p>
            <w:pPr>
              <w:pStyle w:val="49"/>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highlight w:val="none"/>
                <w:lang w:eastAsia="zh-CN"/>
              </w:rPr>
              <w:t>综上所述，本项目的建</w:t>
            </w:r>
            <w:r>
              <w:rPr>
                <w:rFonts w:hint="default" w:ascii="Times New Roman" w:hAnsi="Times New Roman" w:eastAsia="仿宋" w:cs="Times New Roman"/>
                <w:color w:val="auto"/>
                <w:lang w:eastAsia="zh-CN"/>
              </w:rPr>
              <w:t>设符合“三线一单”相关要求。</w:t>
            </w:r>
          </w:p>
          <w:p>
            <w:pPr>
              <w:pStyle w:val="49"/>
              <w:keepNext w:val="0"/>
              <w:keepLines w:val="0"/>
              <w:pageBreakBefore w:val="0"/>
              <w:widowControl w:val="0"/>
              <w:kinsoku/>
              <w:wordWrap/>
              <w:topLinePunct w:val="0"/>
              <w:autoSpaceDE/>
              <w:autoSpaceDN/>
              <w:bidi w:val="0"/>
              <w:adjustRightInd w:val="0"/>
              <w:spacing w:line="240" w:lineRule="auto"/>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表3   本项目与中卫市生态环境准入清单总体要求符合性分析</w:t>
            </w:r>
          </w:p>
          <w:tbl>
            <w:tblPr>
              <w:tblStyle w:val="29"/>
              <w:tblW w:w="81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4"/>
              <w:gridCol w:w="969"/>
              <w:gridCol w:w="4615"/>
              <w:gridCol w:w="18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28"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sz w:val="21"/>
                      <w:szCs w:val="21"/>
                      <w:vertAlign w:val="baseline"/>
                      <w:lang w:val="en-US" w:eastAsia="zh-CN"/>
                    </w:rPr>
                    <w:t>中卫市生态环境总体准入要求</w:t>
                  </w:r>
                </w:p>
              </w:tc>
              <w:tc>
                <w:tcPr>
                  <w:tcW w:w="182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本项目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1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管控维度</w:t>
                  </w: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准入要求</w:t>
                  </w:r>
                </w:p>
              </w:tc>
              <w:tc>
                <w:tcPr>
                  <w:tcW w:w="182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A1空间布局约束</w:t>
                  </w:r>
                </w:p>
              </w:tc>
              <w:tc>
                <w:tcPr>
                  <w:tcW w:w="96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A1.1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禁止开发建设活动的要求</w:t>
                  </w: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严禁在黄河干流及主要支流临岸1公里范围内新建“两高一资"项目及相关产业园区。</w:t>
                  </w:r>
                </w:p>
              </w:tc>
              <w:tc>
                <w:tcPr>
                  <w:tcW w:w="182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本项目不在黄河沿岸建设。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rPr>
                  </w:pPr>
                </w:p>
              </w:tc>
              <w:tc>
                <w:tcPr>
                  <w:tcW w:w="9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黄河沿线两岸3公里范围内不再新建养殖场。</w:t>
                  </w:r>
                </w:p>
              </w:tc>
              <w:tc>
                <w:tcPr>
                  <w:tcW w:w="182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420" w:firstLineChars="20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9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所有工业企业原则上一律入园，工业园区及产业集聚区外不再建设工业项目。</w:t>
                  </w:r>
                </w:p>
              </w:tc>
              <w:tc>
                <w:tcPr>
                  <w:tcW w:w="182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420" w:firstLineChars="20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9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城市建成区内，禁止新建、扩建产生异味的生物发酵项目。</w:t>
                  </w:r>
                </w:p>
              </w:tc>
              <w:tc>
                <w:tcPr>
                  <w:tcW w:w="18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w:t>
                  </w:r>
                  <w:r>
                    <w:rPr>
                      <w:rFonts w:hint="eastAsia" w:cs="Times New Roman"/>
                      <w:b w:val="0"/>
                      <w:bCs w:val="0"/>
                      <w:color w:val="auto"/>
                      <w:sz w:val="21"/>
                      <w:szCs w:val="21"/>
                      <w:vertAlign w:val="baseline"/>
                      <w:lang w:val="en-US" w:eastAsia="zh-CN"/>
                    </w:rPr>
                    <w:t>为风力发电项目</w:t>
                  </w:r>
                  <w:r>
                    <w:rPr>
                      <w:rFonts w:hint="default" w:ascii="Times New Roman" w:hAnsi="Times New Roman" w:eastAsia="宋体" w:cs="Times New Roman"/>
                      <w:b w:val="0"/>
                      <w:bCs w:val="0"/>
                      <w:color w:val="auto"/>
                      <w:sz w:val="21"/>
                      <w:szCs w:val="21"/>
                      <w:vertAlign w:val="baseline"/>
                      <w:lang w:val="en-US" w:eastAsia="zh-CN"/>
                    </w:rPr>
                    <w:t>不涉及。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9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“十四五”期间不再新增燃煤自备电厂。</w:t>
                  </w:r>
                </w:p>
              </w:tc>
              <w:tc>
                <w:tcPr>
                  <w:tcW w:w="182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9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禁止在优先保护类耕地集中区城新建有色金属冶炼、石油加工、化工、焦化、电镀、制革等行业企业。</w:t>
                  </w:r>
                </w:p>
              </w:tc>
              <w:tc>
                <w:tcPr>
                  <w:tcW w:w="182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420" w:firstLineChars="200"/>
                    <w:jc w:val="left"/>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A1空间布局约束</w:t>
                  </w:r>
                </w:p>
              </w:tc>
              <w:tc>
                <w:tcPr>
                  <w:tcW w:w="9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A1.2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限制开发建设活动的要求</w:t>
                  </w: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严控“两高”行业和产能过剩行业用地、用电等，坚决杜绝“两高”行业低水平重复建设，对不符合国家产业规划、产业政策、“三线一单”、规划环评、产能置换、煤炭消费减量替代、污染物排放区域削减等要求及未落实能耗指标的“两高”项目坚决停批。</w:t>
                  </w:r>
                </w:p>
              </w:tc>
              <w:tc>
                <w:tcPr>
                  <w:tcW w:w="18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left"/>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本项目不属于两高项目，且符合产业政策。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96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A1.3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不符合空间布局要求活动的退出要求</w:t>
                  </w: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对严重影响优先区域土壤环境质量的工矿企业，要予以限期治理，未达到治理要求的，由县级以上人民政府依法责令停业或关闭，监督企业对其造成的土壤污染进行修复治理。</w:t>
                  </w:r>
                </w:p>
              </w:tc>
              <w:tc>
                <w:tcPr>
                  <w:tcW w:w="18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left"/>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本项目为</w:t>
                  </w:r>
                  <w:r>
                    <w:rPr>
                      <w:rFonts w:hint="eastAsia" w:cs="Times New Roman"/>
                      <w:b w:val="0"/>
                      <w:bCs w:val="0"/>
                      <w:color w:val="auto"/>
                      <w:sz w:val="21"/>
                      <w:szCs w:val="21"/>
                      <w:vertAlign w:val="baseline"/>
                      <w:lang w:val="en-US" w:eastAsia="zh-CN"/>
                    </w:rPr>
                    <w:t>风力发电</w:t>
                  </w:r>
                  <w:r>
                    <w:rPr>
                      <w:rFonts w:hint="default" w:ascii="Times New Roman" w:hAnsi="Times New Roman" w:eastAsia="宋体" w:cs="Times New Roman"/>
                      <w:b w:val="0"/>
                      <w:bCs w:val="0"/>
                      <w:color w:val="auto"/>
                      <w:sz w:val="21"/>
                      <w:szCs w:val="21"/>
                      <w:vertAlign w:val="baseline"/>
                      <w:lang w:val="en-US" w:eastAsia="zh-CN"/>
                    </w:rPr>
                    <w:t>项目，不属于工矿企业。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outlineLvl w:val="9"/>
                    <w:rPr>
                      <w:rFonts w:hint="default" w:ascii="Times New Roman" w:hAnsi="Times New Roman" w:eastAsia="宋体" w:cs="Times New Roman"/>
                      <w:color w:val="auto"/>
                    </w:rPr>
                  </w:pPr>
                </w:p>
              </w:tc>
              <w:tc>
                <w:tcPr>
                  <w:tcW w:w="9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outlineLvl w:val="9"/>
                    <w:rPr>
                      <w:rFonts w:hint="default" w:ascii="Times New Roman" w:hAnsi="Times New Roman" w:eastAsia="宋体" w:cs="Times New Roman"/>
                      <w:color w:val="auto"/>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严格管控自然保护地范围内非生态活动，稳妥推进核心区内居民、耕地、矿权有序退出。</w:t>
                  </w:r>
                </w:p>
              </w:tc>
              <w:tc>
                <w:tcPr>
                  <w:tcW w:w="182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left"/>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w:t>
                  </w:r>
                  <w:r>
                    <w:rPr>
                      <w:rFonts w:hint="eastAsia" w:cs="Times New Roman"/>
                      <w:b w:val="0"/>
                      <w:bCs w:val="0"/>
                      <w:color w:val="auto"/>
                      <w:sz w:val="21"/>
                      <w:szCs w:val="21"/>
                      <w:vertAlign w:val="baseline"/>
                      <w:lang w:val="en-US" w:eastAsia="zh-CN"/>
                    </w:rPr>
                    <w:t>为风力发电项目</w:t>
                  </w:r>
                  <w:r>
                    <w:rPr>
                      <w:rFonts w:hint="default" w:ascii="Times New Roman" w:hAnsi="Times New Roman" w:eastAsia="宋体" w:cs="Times New Roman"/>
                      <w:b w:val="0"/>
                      <w:bCs w:val="0"/>
                      <w:color w:val="auto"/>
                      <w:sz w:val="21"/>
                      <w:szCs w:val="21"/>
                      <w:vertAlign w:val="baseline"/>
                      <w:lang w:val="en-US" w:eastAsia="zh-CN"/>
                    </w:rPr>
                    <w:t>，不属于生产类。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c>
                <w:tcPr>
                  <w:tcW w:w="9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畜禽养殖禁养区内规模养殖场(小区)在合理补偿的基础上，依法依规进行关闭或搬迁。</w:t>
                  </w:r>
                </w:p>
              </w:tc>
              <w:tc>
                <w:tcPr>
                  <w:tcW w:w="182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c>
                <w:tcPr>
                  <w:tcW w:w="9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产业集聚区内全面淘汰20蒸吨/小时以下燃煤锅炉，集中供热中心15公里范围内35蒸吨/小时及以下分散燃煤锅炉逐步淘汰。</w:t>
                  </w:r>
                </w:p>
              </w:tc>
              <w:tc>
                <w:tcPr>
                  <w:tcW w:w="18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left"/>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本项目不涉及。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A2污染物排放管控</w:t>
                  </w:r>
                </w:p>
              </w:tc>
              <w:tc>
                <w:tcPr>
                  <w:tcW w:w="9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A2.1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允许排放量要求</w:t>
                  </w: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化学需氧量、氨氮、</w:t>
                  </w:r>
                  <w:r>
                    <w:rPr>
                      <w:rFonts w:hint="eastAsia" w:cs="Times New Roman"/>
                      <w:b w:val="0"/>
                      <w:bCs w:val="0"/>
                      <w:color w:val="auto"/>
                      <w:sz w:val="21"/>
                      <w:szCs w:val="21"/>
                      <w:vertAlign w:val="baseline"/>
                      <w:lang w:val="en-US" w:eastAsia="zh-CN"/>
                    </w:rPr>
                    <w:t>氮</w:t>
                  </w:r>
                  <w:r>
                    <w:rPr>
                      <w:rFonts w:hint="default" w:ascii="Times New Roman" w:hAnsi="Times New Roman" w:eastAsia="宋体" w:cs="Times New Roman"/>
                      <w:b w:val="0"/>
                      <w:bCs w:val="0"/>
                      <w:color w:val="auto"/>
                      <w:sz w:val="21"/>
                      <w:szCs w:val="21"/>
                      <w:vertAlign w:val="baseline"/>
                      <w:lang w:val="en-US" w:eastAsia="zh-CN"/>
                    </w:rPr>
                    <w:t>氧化物和挥发性有机物排放总量完成自治区下达任务。</w:t>
                  </w:r>
                </w:p>
              </w:tc>
              <w:tc>
                <w:tcPr>
                  <w:tcW w:w="182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left"/>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本项目不涉及重金属污染物、VOCs排放、烧结等内容。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color w:val="auto"/>
                    </w:rPr>
                  </w:pPr>
                </w:p>
              </w:tc>
              <w:tc>
                <w:tcPr>
                  <w:tcW w:w="9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color w:val="auto"/>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严格涉VOCs排放的工业企业准入，新建项目实行区域内VOCs排放等量或倍量削减替代。</w:t>
                  </w:r>
                </w:p>
              </w:tc>
              <w:tc>
                <w:tcPr>
                  <w:tcW w:w="182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0000FF"/>
                      <w:sz w:val="21"/>
                      <w:szCs w:val="21"/>
                      <w:vertAlign w:val="baseline"/>
                      <w:lang w:val="en-US" w:eastAsia="zh-CN"/>
                    </w:rPr>
                  </w:pPr>
                </w:p>
              </w:tc>
              <w:tc>
                <w:tcPr>
                  <w:tcW w:w="9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0000FF"/>
                      <w:sz w:val="21"/>
                      <w:szCs w:val="21"/>
                      <w:vertAlign w:val="baseline"/>
                      <w:lang w:val="en-US" w:eastAsia="zh-CN"/>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新、改、扩建涉重金属重点行业建设项目，必须遵循重金属污染物排放“减量置换”或“等量替换”原则。</w:t>
                  </w:r>
                </w:p>
              </w:tc>
              <w:tc>
                <w:tcPr>
                  <w:tcW w:w="182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0000FF"/>
                      <w:sz w:val="21"/>
                      <w:szCs w:val="21"/>
                      <w:vertAlign w:val="baseline"/>
                      <w:lang w:val="en-US" w:eastAsia="zh-CN"/>
                    </w:rPr>
                  </w:pPr>
                </w:p>
              </w:tc>
              <w:tc>
                <w:tcPr>
                  <w:tcW w:w="96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0000FF"/>
                      <w:sz w:val="21"/>
                      <w:szCs w:val="21"/>
                      <w:vertAlign w:val="baseline"/>
                      <w:lang w:val="en-US" w:eastAsia="zh-CN"/>
                    </w:rPr>
                  </w:pPr>
                </w:p>
              </w:tc>
              <w:tc>
                <w:tcPr>
                  <w:tcW w:w="46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到2025年，中卫市畜禽养殖废物综合利用率达到95%，规模养殖场粪污处理设施装备配套率达到100%。</w:t>
                  </w:r>
                </w:p>
              </w:tc>
              <w:tc>
                <w:tcPr>
                  <w:tcW w:w="182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A2污染物排放管控</w:t>
                  </w:r>
                </w:p>
              </w:tc>
              <w:tc>
                <w:tcPr>
                  <w:tcW w:w="9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A2.2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现有源提标升级改造</w:t>
                  </w:r>
                </w:p>
              </w:tc>
              <w:tc>
                <w:tcPr>
                  <w:tcW w:w="4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30万千瓦及以上火电企业全部实现超低排放，其他火电企业(含自备电厂)以及钢铁、水泥、焦化等重点行业全部达到特别排放限值要求。2024年底前，烧结、炼铁、炼钢轧钢、自备电厂等有组织排放污染物实行超低排放限值。</w:t>
                  </w:r>
                </w:p>
              </w:tc>
              <w:tc>
                <w:tcPr>
                  <w:tcW w:w="18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right="0" w:rightChars="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本项目不属于30万千瓦及以上火电企业全部实现超低排放，其他火电企业(含自备电厂)以及钢铁、水泥、焦化等重点行业。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A3环境风险防控</w:t>
                  </w:r>
                </w:p>
              </w:tc>
              <w:tc>
                <w:tcPr>
                  <w:tcW w:w="9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A3.1</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联防联控要求</w:t>
                  </w:r>
                </w:p>
              </w:tc>
              <w:tc>
                <w:tcPr>
                  <w:tcW w:w="4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健全市生态环境局与公安、交通、应急、气象、水务等部门联动机制，细化落实各相关部门之间联防联控责任与任务分工，联合开展突发环境污染事件处置应急演练，提高联防联控实战能力。严格控制沿黄区域、黄河干支流、饮用水源地周边范围内企业环境风险，落实环境风险预警和防范措施。</w:t>
                  </w:r>
                </w:p>
              </w:tc>
              <w:tc>
                <w:tcPr>
                  <w:tcW w:w="182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本项目不涉及。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9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A3.2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企业环境风险防控要求</w:t>
                  </w:r>
                </w:p>
              </w:tc>
              <w:tc>
                <w:tcPr>
                  <w:tcW w:w="4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完善企业突发环境事件风险评估制度，推进突发环境事件风险分类分级管理，严格重大突发环境事件风险企业监管。</w:t>
                  </w:r>
                </w:p>
              </w:tc>
              <w:tc>
                <w:tcPr>
                  <w:tcW w:w="182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A4资源利用效率要求</w:t>
                  </w:r>
                </w:p>
              </w:tc>
              <w:tc>
                <w:tcPr>
                  <w:tcW w:w="96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A4.1</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能源利用总量及效率要求</w:t>
                  </w:r>
                </w:p>
              </w:tc>
              <w:tc>
                <w:tcPr>
                  <w:tcW w:w="4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全面贯彻落实国家和自治区下达煤炭消费总量目标，严格控制耗煤行业煤炭新增量，新增产能必须符合国内先进能效标准。</w:t>
                  </w:r>
                </w:p>
              </w:tc>
              <w:tc>
                <w:tcPr>
                  <w:tcW w:w="1822"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420" w:firstLineChars="20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本项目为</w:t>
                  </w:r>
                  <w:r>
                    <w:rPr>
                      <w:rFonts w:hint="eastAsia" w:cs="Times New Roman"/>
                      <w:b w:val="0"/>
                      <w:bCs w:val="0"/>
                      <w:color w:val="auto"/>
                      <w:sz w:val="21"/>
                      <w:szCs w:val="21"/>
                      <w:vertAlign w:val="baseline"/>
                      <w:lang w:val="en-US" w:eastAsia="zh-CN"/>
                    </w:rPr>
                    <w:t>风力发电项目</w:t>
                  </w:r>
                  <w:r>
                    <w:rPr>
                      <w:rFonts w:hint="default" w:ascii="Times New Roman" w:hAnsi="Times New Roman" w:eastAsia="宋体" w:cs="Times New Roman"/>
                      <w:b w:val="0"/>
                      <w:bCs w:val="0"/>
                      <w:color w:val="auto"/>
                      <w:sz w:val="21"/>
                      <w:szCs w:val="21"/>
                      <w:vertAlign w:val="baseline"/>
                      <w:lang w:val="en-US" w:eastAsia="zh-CN"/>
                    </w:rPr>
                    <w:t>，不涉及煤炭行业，</w:t>
                  </w:r>
                  <w:r>
                    <w:rPr>
                      <w:rFonts w:hint="eastAsia" w:cs="Times New Roman"/>
                      <w:b w:val="0"/>
                      <w:bCs w:val="0"/>
                      <w:color w:val="auto"/>
                      <w:sz w:val="21"/>
                      <w:szCs w:val="21"/>
                      <w:vertAlign w:val="baseline"/>
                      <w:lang w:val="en-US" w:eastAsia="zh-CN"/>
                    </w:rPr>
                    <w:t>运营期不用水</w:t>
                  </w: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rPr>
                  </w:pPr>
                </w:p>
              </w:tc>
              <w:tc>
                <w:tcPr>
                  <w:tcW w:w="969"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rPr>
                  </w:pPr>
                </w:p>
              </w:tc>
              <w:tc>
                <w:tcPr>
                  <w:tcW w:w="4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新建、改建、扩建耗煤项目(除煤化工、火电外)一律实施煤炭等量置换，重点控制区及环境质量不达标地区实行减量置换。</w:t>
                  </w:r>
                </w:p>
              </w:tc>
              <w:tc>
                <w:tcPr>
                  <w:tcW w:w="182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0000FF"/>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96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A4.2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水资源利用总量及效率要求</w:t>
                  </w:r>
                </w:p>
              </w:tc>
              <w:tc>
                <w:tcPr>
                  <w:tcW w:w="46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建立水资源刚性约束制度，严格准入条件，按照地区取水总量限值审核新、改、扩建项目，取水总量不得超过地区水资源取用，上限或承载能力。</w:t>
                  </w:r>
                </w:p>
              </w:tc>
              <w:tc>
                <w:tcPr>
                  <w:tcW w:w="182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0000FF"/>
                      <w:sz w:val="21"/>
                      <w:szCs w:val="21"/>
                      <w:vertAlign w:val="baseline"/>
                      <w:lang w:val="en-US" w:eastAsia="zh-CN"/>
                    </w:rPr>
                  </w:pPr>
                </w:p>
              </w:tc>
            </w:tr>
          </w:tbl>
          <w:p>
            <w:pPr>
              <w:pStyle w:val="49"/>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所以，本项目与中卫市生态环境准入清单总体要求相符合。</w:t>
            </w:r>
          </w:p>
          <w:p>
            <w:pPr>
              <w:pStyle w:val="49"/>
              <w:keepNext w:val="0"/>
              <w:keepLines w:val="0"/>
              <w:pageBreakBefore w:val="0"/>
              <w:widowControl w:val="0"/>
              <w:kinsoku/>
              <w:wordWrap/>
              <w:topLinePunct w:val="0"/>
              <w:autoSpaceDE/>
              <w:autoSpaceDN/>
              <w:bidi w:val="0"/>
              <w:adjustRightInd w:val="0"/>
              <w:spacing w:line="240" w:lineRule="auto"/>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表4       中卫市环境管控单元生态环境准入清单一览表</w:t>
            </w:r>
          </w:p>
          <w:tbl>
            <w:tblPr>
              <w:tblStyle w:val="29"/>
              <w:tblW w:w="80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7"/>
              <w:gridCol w:w="1045"/>
              <w:gridCol w:w="3450"/>
              <w:gridCol w:w="27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362"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中卫市环境管控单元生态环境准入清单</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本项目情况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序号</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ZH64052230003</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环境管控单元名称</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海原县甘城乡一般管控单元</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行政区划</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宁夏回族自治区中卫市</w:t>
                  </w:r>
                  <w:r>
                    <w:rPr>
                      <w:rFonts w:hint="eastAsia" w:cs="Times New Roman"/>
                      <w:b/>
                      <w:bCs/>
                      <w:color w:val="auto"/>
                      <w:sz w:val="21"/>
                      <w:szCs w:val="21"/>
                      <w:vertAlign w:val="baseline"/>
                      <w:lang w:val="en-US" w:eastAsia="zh-CN"/>
                    </w:rPr>
                    <w:t>海原县</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宁夏回族自治区中卫市</w:t>
                  </w:r>
                  <w:r>
                    <w:rPr>
                      <w:rFonts w:hint="eastAsia" w:cs="Times New Roman"/>
                      <w:b w:val="0"/>
                      <w:bCs w:val="0"/>
                      <w:color w:val="auto"/>
                      <w:sz w:val="21"/>
                      <w:szCs w:val="21"/>
                      <w:vertAlign w:val="baseline"/>
                      <w:lang w:val="en-US" w:eastAsia="zh-CN"/>
                    </w:rPr>
                    <w:t>海原县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要素属性</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一般管控</w:t>
                  </w:r>
                  <w:r>
                    <w:rPr>
                      <w:rFonts w:hint="eastAsia" w:cs="Times New Roman"/>
                      <w:b/>
                      <w:bCs/>
                      <w:color w:val="auto"/>
                      <w:sz w:val="21"/>
                      <w:szCs w:val="21"/>
                      <w:vertAlign w:val="baseline"/>
                      <w:lang w:val="en-US" w:eastAsia="zh-CN"/>
                    </w:rPr>
                    <w:t>区</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管控单元分类</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一般管控单元</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9" w:hRule="atLeast"/>
                <w:jc w:val="center"/>
              </w:trPr>
              <w:tc>
                <w:tcPr>
                  <w:tcW w:w="86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管控要求</w:t>
                  </w: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空间布局约束</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 xml:space="preserve">1.禁止新建项目乱征滥占草地、破坏沙生植被，严格限制在区域内采砂取土。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 xml:space="preserve">2.限制无序发展光伏产业。严格限制在农用地优先保护区集中区域新建医药、垃圾焚烧、铅酸蓄电池制造回收、电子废弃物拆解、危险废物处置和危险化学品生产、储存、使用等行业项目。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 xml:space="preserve">3.在满足产业准入、总量控制、排放标准等国家和地方相关管理制度要求的前提下，集约发展。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4.深入推进“散乱污”工业企业整治工作，对不符合国家或自治区产业政策、依法应办理而未办理相关审批或登记手续、违法排污严重的工业企业，限期关停拆除。</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w:t>
                  </w:r>
                  <w:r>
                    <w:rPr>
                      <w:rFonts w:hint="default" w:ascii="Times New Roman" w:hAnsi="Times New Roman" w:eastAsia="宋体" w:cs="Times New Roman"/>
                      <w:b w:val="0"/>
                      <w:bCs w:val="0"/>
                      <w:color w:val="auto"/>
                      <w:sz w:val="21"/>
                      <w:szCs w:val="21"/>
                      <w:vertAlign w:val="baseline"/>
                      <w:lang w:val="en-US" w:eastAsia="zh-CN"/>
                    </w:rPr>
                    <w:t>本项目</w:t>
                  </w:r>
                  <w:r>
                    <w:rPr>
                      <w:rFonts w:hint="eastAsia" w:cs="Times New Roman"/>
                      <w:b w:val="0"/>
                      <w:bCs w:val="0"/>
                      <w:color w:val="auto"/>
                      <w:sz w:val="21"/>
                      <w:szCs w:val="21"/>
                      <w:vertAlign w:val="baseline"/>
                      <w:lang w:val="en-US" w:eastAsia="zh-CN"/>
                    </w:rPr>
                    <w:t>永久占地为农用地，不占用草地，且已取得相关用地手续</w:t>
                  </w:r>
                  <w:r>
                    <w:rPr>
                      <w:rFonts w:hint="default" w:ascii="Times New Roman" w:hAnsi="Times New Roman" w:eastAsia="宋体" w:cs="Times New Roman"/>
                      <w:b w:val="0"/>
                      <w:bCs w:val="0"/>
                      <w:color w:val="auto"/>
                      <w:sz w:val="21"/>
                      <w:szCs w:val="21"/>
                      <w:vertAlign w:val="baseline"/>
                      <w:lang w:val="en-US" w:eastAsia="zh-CN"/>
                    </w:rPr>
                    <w:t>。</w:t>
                  </w:r>
                  <w:r>
                    <w:rPr>
                      <w:rFonts w:hint="eastAsia" w:cs="Times New Roman"/>
                      <w:b w:val="0"/>
                      <w:bCs w:val="0"/>
                      <w:color w:val="auto"/>
                      <w:sz w:val="21"/>
                      <w:szCs w:val="21"/>
                      <w:vertAlign w:val="baseline"/>
                      <w:lang w:val="en-US" w:eastAsia="zh-CN"/>
                    </w:rPr>
                    <w:t>2.本项目为风力发电项目，不属于光伏产业，不属于医药、垃圾焚烧、铅酸蓄电池制造回收、电子废弃物拆解、危险废物处置和危险化学品生产、储存、使用等行业项目。3.本项目建设满足产业准入、总量控制、排放 标准等国家和地方相关管理制度要求。4.本项目运营期无废水及废气排放，运行期设备检修产生的废润滑油和事故时废变压器油集中收集后，暂存于后期新建升压站内的危险废物贮存点（36m</w:t>
                  </w:r>
                  <w:r>
                    <w:rPr>
                      <w:rFonts w:hint="eastAsia" w:cs="Times New Roman"/>
                      <w:b w:val="0"/>
                      <w:bCs w:val="0"/>
                      <w:color w:val="auto"/>
                      <w:sz w:val="21"/>
                      <w:szCs w:val="21"/>
                      <w:vertAlign w:val="superscript"/>
                      <w:lang w:val="en-US" w:eastAsia="zh-CN"/>
                    </w:rPr>
                    <w:t>2</w:t>
                  </w:r>
                  <w:r>
                    <w:rPr>
                      <w:rFonts w:hint="eastAsia" w:cs="Times New Roman"/>
                      <w:b w:val="0"/>
                      <w:bCs w:val="0"/>
                      <w:color w:val="auto"/>
                      <w:sz w:val="21"/>
                      <w:szCs w:val="21"/>
                      <w:vertAlign w:val="baseline"/>
                      <w:lang w:val="en-US" w:eastAsia="zh-CN"/>
                    </w:rPr>
                    <w:t>），定期交由有资质单位处置。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污染物排放管控</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环境风险防范</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资源开发效率</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序号</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ZH64052110005</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环境管控单元名称</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海原县七营镇</w:t>
                  </w:r>
                  <w:r>
                    <w:rPr>
                      <w:rFonts w:hint="eastAsia" w:cs="Times New Roman"/>
                      <w:b/>
                      <w:bCs/>
                      <w:color w:val="auto"/>
                      <w:sz w:val="21"/>
                      <w:szCs w:val="21"/>
                      <w:vertAlign w:val="baseline"/>
                      <w:lang w:val="en-US" w:eastAsia="zh-CN"/>
                    </w:rPr>
                    <w:t>，</w:t>
                  </w:r>
                  <w:r>
                    <w:rPr>
                      <w:rFonts w:hint="default" w:ascii="Times New Roman" w:hAnsi="Times New Roman" w:eastAsia="宋体" w:cs="Times New Roman"/>
                      <w:b/>
                      <w:bCs/>
                      <w:color w:val="auto"/>
                      <w:sz w:val="21"/>
                      <w:szCs w:val="21"/>
                      <w:vertAlign w:val="baseline"/>
                      <w:lang w:val="en-US" w:eastAsia="zh-CN"/>
                    </w:rPr>
                    <w:t>甘城乡、 三河镇生态红线优先保护单元</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行政区划</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宁夏回族自治区中卫市</w:t>
                  </w:r>
                  <w:r>
                    <w:rPr>
                      <w:rFonts w:hint="eastAsia" w:cs="Times New Roman"/>
                      <w:b/>
                      <w:bCs/>
                      <w:color w:val="auto"/>
                      <w:sz w:val="21"/>
                      <w:szCs w:val="21"/>
                      <w:vertAlign w:val="baseline"/>
                      <w:lang w:val="en-US" w:eastAsia="zh-CN"/>
                    </w:rPr>
                    <w:t>海原县</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宁夏回族自治区中卫市海原县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要素属性</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生态空间</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管控单元分类</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优先保护</w:t>
                  </w:r>
                  <w:r>
                    <w:rPr>
                      <w:rFonts w:hint="default" w:ascii="Times New Roman" w:hAnsi="Times New Roman" w:eastAsia="宋体" w:cs="Times New Roman"/>
                      <w:b/>
                      <w:bCs/>
                      <w:color w:val="auto"/>
                      <w:sz w:val="21"/>
                      <w:szCs w:val="21"/>
                      <w:vertAlign w:val="baseline"/>
                      <w:lang w:val="en-US" w:eastAsia="zh-CN"/>
                    </w:rPr>
                    <w:t>单元</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0" w:hRule="atLeast"/>
                <w:jc w:val="center"/>
              </w:trPr>
              <w:tc>
                <w:tcPr>
                  <w:tcW w:w="86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管控要求</w:t>
                  </w: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空间布局约束</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 xml:space="preserve">1.禁止新建项目乱征滥占草地、破坏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沙生植被，严格限制在区域内采砂取土。2.生态保护红线内，除国家重大战略项目以及对生态功能不造成破坏的八类有限人为活动之外，严格禁止各类开发性、生产性建设活动。一般生态空间内，在生态保护红线正面清单的基础上，仅允许开展生态修复等对生态环境扰动较小、不损害或有利于提升生态功能的开发项目。3.对区域内“散乱污”企业根据实际情况采取关停或搬迁入园措施。禁养区内现有的畜禽养殖场（小区）污染物的排放要符合《畜禽养殖污染物排放标准》的要求，并限期实现关停、转产或搬迁。</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本项目永久占地类型为农用地，不占用草地；2.本项目不涉及生态红线；本项目为风力发电项目，属于对生态环境扰动较小、不损害或有利于提升生态功能的开发项目；3.本项目为风力发电项目，不涉及畜禽养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污染物排放管控</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环境风险防范</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资源开发效率</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序号</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ZH64052210008</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环境管控单元名称</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海原县李俊乡, 红羊乡、 曹洼乡生态红线、生态空间优先保护单元</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行政区划</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宁夏回族自治区中卫市</w:t>
                  </w:r>
                  <w:r>
                    <w:rPr>
                      <w:rFonts w:hint="eastAsia" w:cs="Times New Roman"/>
                      <w:b/>
                      <w:bCs/>
                      <w:color w:val="auto"/>
                      <w:sz w:val="21"/>
                      <w:szCs w:val="21"/>
                      <w:vertAlign w:val="baseline"/>
                      <w:lang w:val="en-US" w:eastAsia="zh-CN"/>
                    </w:rPr>
                    <w:t>海原县</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宁夏回族自治区中卫市海原县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要素属性</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bCs/>
                      <w:color w:val="auto"/>
                      <w:sz w:val="21"/>
                      <w:szCs w:val="21"/>
                      <w:vertAlign w:val="baseline"/>
                      <w:lang w:val="en-US" w:eastAsia="zh-CN"/>
                    </w:rPr>
                    <w:t>生态空间</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1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管控单元分类</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bCs/>
                      <w:color w:val="auto"/>
                      <w:sz w:val="21"/>
                      <w:szCs w:val="21"/>
                      <w:vertAlign w:val="baseline"/>
                      <w:lang w:val="en-US" w:eastAsia="zh-CN"/>
                    </w:rPr>
                    <w:t>优先保护</w:t>
                  </w:r>
                  <w:r>
                    <w:rPr>
                      <w:rFonts w:hint="default" w:ascii="Times New Roman" w:hAnsi="Times New Roman" w:eastAsia="宋体" w:cs="Times New Roman"/>
                      <w:b/>
                      <w:bCs/>
                      <w:color w:val="auto"/>
                      <w:sz w:val="21"/>
                      <w:szCs w:val="21"/>
                      <w:vertAlign w:val="baseline"/>
                      <w:lang w:val="en-US" w:eastAsia="zh-CN"/>
                    </w:rPr>
                    <w:t>单元</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管控要求</w:t>
                  </w: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空间布局约束</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 xml:space="preserve">1.禁止新建项目乱征滥占草地、破坏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沙生植被，严格限制在区域内采砂取土。2.生态保护红线内，除国家重大战略项目以及对生态功能不造成破坏的八类有限人为活动之外，严格禁止各类开发性、生产性建设活动。一般生态空间内，在生态保护红线正面清单的基础上，仅允许开展生态修复等对生态环境扰动较小、不损害或有利于提升生态功能的开发项目。3.对区域内“散乱污”企业根据实际情况采取关停或搬迁入园措施。禁养区内现有的畜禽养殖场（小区）污染物的排放要符合《畜禽养殖污染物排放标准》的要求，并限期实现关停、转产或搬迁。</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本项目永久占地类型为农用地，不占用草地；2.本项目不涉及生态红线；本项目为风力发电项目，属于对生态环境扰动较小、不损害或有利于提升生态功能的开发项目；3.本项目为风力发电项目，不涉及畜禽养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污染物排放管控</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环境风险防范</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default" w:ascii="Times New Roman" w:hAnsi="Times New Roman" w:eastAsia="宋体" w:cs="Times New Roman"/>
                      <w:b/>
                      <w:bCs/>
                      <w:color w:val="auto"/>
                      <w:sz w:val="21"/>
                      <w:szCs w:val="21"/>
                      <w:vertAlign w:val="baseline"/>
                      <w:lang w:val="en-US" w:eastAsia="zh-CN"/>
                    </w:rPr>
                  </w:pPr>
                </w:p>
              </w:tc>
              <w:tc>
                <w:tcPr>
                  <w:tcW w:w="10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资源开发效率</w:t>
                  </w:r>
                </w:p>
              </w:tc>
              <w:tc>
                <w:tcPr>
                  <w:tcW w:w="34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c>
                <w:tcPr>
                  <w:tcW w:w="27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所以，本项目与中卫市环境管控单元生态环境准入清单相符合。</w:t>
            </w:r>
          </w:p>
          <w:p>
            <w:pPr>
              <w:pStyle w:val="4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2</w:t>
            </w:r>
            <w:r>
              <w:rPr>
                <w:rFonts w:hint="default" w:ascii="Times New Roman" w:hAnsi="Times New Roman" w:eastAsia="仿宋" w:cs="Times New Roman"/>
                <w:color w:val="0000FF"/>
                <w:lang w:val="en-US" w:eastAsia="zh-CN"/>
              </w:rPr>
              <w:t>.</w:t>
            </w:r>
            <w:r>
              <w:rPr>
                <w:rFonts w:hint="default" w:ascii="Times New Roman" w:hAnsi="Times New Roman" w:eastAsia="仿宋" w:cs="Times New Roman"/>
                <w:b/>
                <w:bCs/>
                <w:color w:val="auto"/>
                <w:kern w:val="16"/>
                <w:sz w:val="24"/>
                <w:szCs w:val="24"/>
                <w:lang w:val="en-US" w:eastAsia="zh-CN" w:bidi="ar-SA"/>
              </w:rPr>
              <w:t>与《宁夏回族自治区生态环境“十四五”规划》符合性分析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根据《宁夏回族自治区生态环境“十四五”规划》中第三条、优化生态空间，推动绿色低碳发展的（三）建设清洁低碳能源体系：优化能源供给结构。推动风能、光能、水能和氢能等清洁能源产业一体化配套发展。建设国家新能源综合示范区和多能互补能源基地，拓宽新能源使用覆盖面。加快推进光伏发电，稳定推进风电开发。合理开发抽水蓄能电站项目，加快风电光伏发电储能设施、天然气储气设施建设</w:t>
            </w:r>
            <w:r>
              <w:rPr>
                <w:rFonts w:hint="default" w:ascii="Arial" w:hAnsi="Arial" w:eastAsia="仿宋" w:cs="Arial"/>
                <w:color w:val="auto"/>
                <w:sz w:val="24"/>
                <w:szCs w:val="24"/>
                <w:lang w:val="en-US" w:eastAsia="zh-CN"/>
              </w:rPr>
              <w:t>…</w:t>
            </w:r>
            <w:r>
              <w:rPr>
                <w:rFonts w:hint="default" w:ascii="Times New Roman" w:hAnsi="Times New Roman" w:eastAsia="仿宋" w:cs="Times New Roman"/>
                <w:color w:val="auto"/>
                <w:sz w:val="24"/>
                <w:szCs w:val="24"/>
                <w:lang w:val="en-US" w:eastAsia="zh-CN"/>
              </w:rPr>
              <w:t>。</w:t>
            </w:r>
          </w:p>
          <w:p>
            <w:pPr>
              <w:autoSpaceDE w:val="0"/>
              <w:autoSpaceDN w:val="0"/>
              <w:adjustRightInd w:val="0"/>
              <w:snapToGrid w:val="0"/>
              <w:spacing w:line="360" w:lineRule="auto"/>
              <w:ind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本项目位于海原县</w:t>
            </w:r>
            <w:r>
              <w:rPr>
                <w:rFonts w:hint="eastAsia" w:eastAsia="仿宋" w:cs="Times New Roman"/>
                <w:color w:val="auto"/>
                <w:sz w:val="24"/>
                <w:szCs w:val="24"/>
                <w:lang w:val="en-US" w:eastAsia="zh-CN"/>
              </w:rPr>
              <w:t>，为</w:t>
            </w:r>
            <w:r>
              <w:rPr>
                <w:rFonts w:hint="default" w:ascii="Times New Roman" w:hAnsi="Times New Roman" w:eastAsia="仿宋" w:cs="Times New Roman"/>
                <w:color w:val="auto"/>
                <w:sz w:val="24"/>
                <w:szCs w:val="24"/>
                <w:lang w:val="en-US" w:eastAsia="zh-CN"/>
              </w:rPr>
              <w:t>100万千瓦风电项目</w:t>
            </w:r>
            <w:r>
              <w:rPr>
                <w:rFonts w:hint="eastAsia"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项目建设符合《宁夏回族自治区生态环境“十四五”规划》要求。</w:t>
            </w:r>
          </w:p>
          <w:p>
            <w:pPr>
              <w:pStyle w:val="48"/>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3.与《风电场开发建设管理暂行办法》（国能新能[2011]285号）的符合性分析 </w:t>
            </w:r>
          </w:p>
          <w:p>
            <w:pPr>
              <w:autoSpaceDE w:val="0"/>
              <w:autoSpaceDN w:val="0"/>
              <w:adjustRightInd w:val="0"/>
              <w:snapToGrid w:val="0"/>
              <w:spacing w:line="360" w:lineRule="auto"/>
              <w:ind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《风电场开发建设管理暂行办法》指出，风电场建设要坚持“统筹规划、 有序开发、分步实施、协调发展”的方针，协调好风电开发与环境保护、土地及海域利用、军事设施保护、电网建设及运行的关系。</w:t>
            </w:r>
          </w:p>
          <w:p>
            <w:pPr>
              <w:autoSpaceDE w:val="0"/>
              <w:autoSpaceDN w:val="0"/>
              <w:adjustRightInd w:val="0"/>
              <w:snapToGrid w:val="0"/>
              <w:spacing w:line="360" w:lineRule="auto"/>
              <w:ind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w:t>
            </w:r>
            <w:r>
              <w:rPr>
                <w:rFonts w:hint="eastAsia" w:ascii="Times New Roman" w:hAnsi="Times New Roman" w:eastAsia="仿宋" w:cs="Times New Roman"/>
                <w:color w:val="auto"/>
                <w:sz w:val="24"/>
                <w:szCs w:val="24"/>
                <w:lang w:val="en-US" w:eastAsia="zh-CN"/>
              </w:rPr>
              <w:t>位于海原县，</w:t>
            </w:r>
            <w:r>
              <w:rPr>
                <w:rFonts w:hint="eastAsia" w:eastAsia="仿宋" w:cs="Times New Roman"/>
                <w:color w:val="auto"/>
                <w:sz w:val="24"/>
                <w:szCs w:val="24"/>
                <w:lang w:val="en-US" w:eastAsia="zh-CN"/>
              </w:rPr>
              <w:t>永久</w:t>
            </w:r>
            <w:r>
              <w:rPr>
                <w:rFonts w:hint="eastAsia" w:ascii="Times New Roman" w:hAnsi="Times New Roman" w:eastAsia="仿宋" w:cs="Times New Roman"/>
                <w:color w:val="auto"/>
                <w:sz w:val="24"/>
                <w:szCs w:val="24"/>
                <w:lang w:val="en-US" w:eastAsia="zh-CN"/>
              </w:rPr>
              <w:t>占地为</w:t>
            </w:r>
            <w:r>
              <w:rPr>
                <w:rFonts w:hint="eastAsia" w:eastAsia="仿宋" w:cs="Times New Roman"/>
                <w:color w:val="auto"/>
                <w:sz w:val="24"/>
                <w:szCs w:val="24"/>
                <w:lang w:val="en-US" w:eastAsia="zh-CN"/>
              </w:rPr>
              <w:t>农用地</w:t>
            </w:r>
            <w:r>
              <w:rPr>
                <w:rFonts w:hint="default" w:ascii="Times New Roman" w:hAnsi="Times New Roman" w:eastAsia="仿宋" w:cs="Times New Roman"/>
                <w:color w:val="auto"/>
                <w:sz w:val="24"/>
                <w:szCs w:val="24"/>
                <w:lang w:val="en-US" w:eastAsia="zh-CN"/>
              </w:rPr>
              <w:t>，</w:t>
            </w:r>
            <w:r>
              <w:rPr>
                <w:rFonts w:hint="eastAsia" w:ascii="Times New Roman" w:hAnsi="Times New Roman" w:eastAsia="仿宋" w:cs="Times New Roman"/>
                <w:color w:val="auto"/>
                <w:sz w:val="24"/>
                <w:szCs w:val="24"/>
                <w:lang w:val="en-US" w:eastAsia="zh-CN"/>
              </w:rPr>
              <w:t>不占用耕地和永久基本农田，</w:t>
            </w:r>
            <w:r>
              <w:rPr>
                <w:rFonts w:hint="default" w:ascii="Times New Roman" w:hAnsi="Times New Roman" w:eastAsia="仿宋" w:cs="Times New Roman"/>
                <w:color w:val="auto"/>
                <w:sz w:val="24"/>
                <w:szCs w:val="24"/>
                <w:lang w:val="en-US" w:eastAsia="zh-CN"/>
              </w:rPr>
              <w:t>不涉及</w:t>
            </w:r>
            <w:r>
              <w:rPr>
                <w:rFonts w:hint="eastAsia" w:ascii="Times New Roman" w:hAnsi="Times New Roman" w:eastAsia="仿宋" w:cs="Times New Roman"/>
                <w:color w:val="auto"/>
                <w:sz w:val="24"/>
                <w:szCs w:val="24"/>
                <w:lang w:val="en-US" w:eastAsia="zh-CN"/>
              </w:rPr>
              <w:t>生态保护红线和各级自然保护区，且不在城镇开发边界内</w:t>
            </w:r>
            <w:r>
              <w:rPr>
                <w:rFonts w:hint="default" w:ascii="Times New Roman" w:hAnsi="Times New Roman" w:eastAsia="仿宋" w:cs="Times New Roman"/>
                <w:color w:val="auto"/>
                <w:sz w:val="24"/>
                <w:szCs w:val="24"/>
                <w:lang w:val="en-US" w:eastAsia="zh-CN"/>
              </w:rPr>
              <w:t>，符合《暂行办法》的相关要求。</w:t>
            </w:r>
          </w:p>
          <w:p>
            <w:pPr>
              <w:pStyle w:val="48"/>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 xml:space="preserve">4.与《风电场工程建设用地和环境保护管理暂行办法》（发改能源[2015]1511 号）的符合性分析 </w:t>
            </w:r>
          </w:p>
          <w:p>
            <w:pPr>
              <w:autoSpaceDE w:val="0"/>
              <w:autoSpaceDN w:val="0"/>
              <w:adjustRightInd w:val="0"/>
              <w:snapToGrid w:val="0"/>
              <w:spacing w:line="360" w:lineRule="auto"/>
              <w:ind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 xml:space="preserve">《风电场工程建设用地和环境保护管理暂行办法》中指出“风电场工程 建设用地应尽量使用未利用土地、少占或不占耕地，并尽量避开省级及以上政府部门依法批准的需要特殊保护的区域。” </w:t>
            </w:r>
          </w:p>
          <w:p>
            <w:pPr>
              <w:autoSpaceDE w:val="0"/>
              <w:autoSpaceDN w:val="0"/>
              <w:adjustRightInd w:val="0"/>
              <w:snapToGrid w:val="0"/>
              <w:spacing w:line="360" w:lineRule="auto"/>
              <w:ind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本项目位于海原县，</w:t>
            </w:r>
            <w:r>
              <w:rPr>
                <w:rFonts w:hint="eastAsia" w:ascii="Times New Roman" w:hAnsi="Times New Roman" w:eastAsia="仿宋" w:cs="Times New Roman"/>
                <w:color w:val="auto"/>
                <w:sz w:val="24"/>
                <w:szCs w:val="24"/>
                <w:lang w:val="en-US" w:eastAsia="zh-CN"/>
              </w:rPr>
              <w:t>永久</w:t>
            </w:r>
            <w:r>
              <w:rPr>
                <w:rFonts w:hint="default" w:ascii="Times New Roman" w:hAnsi="Times New Roman" w:eastAsia="仿宋" w:cs="Times New Roman"/>
                <w:color w:val="auto"/>
                <w:sz w:val="24"/>
                <w:szCs w:val="24"/>
                <w:lang w:val="en-US" w:eastAsia="zh-CN"/>
              </w:rPr>
              <w:t>占地</w:t>
            </w:r>
            <w:r>
              <w:rPr>
                <w:rFonts w:hint="eastAsia" w:ascii="Times New Roman" w:hAnsi="Times New Roman" w:eastAsia="仿宋" w:cs="Times New Roman"/>
                <w:color w:val="auto"/>
                <w:sz w:val="24"/>
                <w:szCs w:val="24"/>
                <w:lang w:val="en-US" w:eastAsia="zh-CN"/>
              </w:rPr>
              <w:t>为</w:t>
            </w:r>
            <w:r>
              <w:rPr>
                <w:rFonts w:hint="eastAsia" w:eastAsia="仿宋" w:cs="Times New Roman"/>
                <w:color w:val="auto"/>
                <w:sz w:val="24"/>
                <w:szCs w:val="24"/>
                <w:lang w:val="en-US" w:eastAsia="zh-CN"/>
              </w:rPr>
              <w:t>农用地</w:t>
            </w:r>
            <w:r>
              <w:rPr>
                <w:rFonts w:hint="default" w:ascii="Times New Roman" w:hAnsi="Times New Roman" w:eastAsia="仿宋" w:cs="Times New Roman"/>
                <w:color w:val="auto"/>
                <w:sz w:val="24"/>
                <w:szCs w:val="24"/>
                <w:lang w:val="en-US" w:eastAsia="zh-CN"/>
              </w:rPr>
              <w:t>，不占用耕地</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永久占地不涉及省级及以上政府部门依法批准的需要特殊保护的区域。 符合《风电场工程建设用地和环境保护管理暂行办法》要求。</w:t>
            </w:r>
          </w:p>
          <w:p>
            <w:pPr>
              <w:pStyle w:val="49"/>
              <w:keepNext w:val="0"/>
              <w:keepLines w:val="0"/>
              <w:pageBreakBefore w:val="0"/>
              <w:widowControl w:val="0"/>
              <w:kinsoku/>
              <w:wordWrap/>
              <w:topLinePunct w:val="0"/>
              <w:autoSpaceDE/>
              <w:autoSpaceDN/>
              <w:bidi w:val="0"/>
              <w:adjustRightInd w:val="0"/>
              <w:spacing w:line="360" w:lineRule="auto"/>
              <w:ind w:left="0" w:leftChars="0" w:firstLine="0" w:firstLineChars="0"/>
              <w:rPr>
                <w:rFonts w:hint="eastAsia" w:eastAsia="仿宋" w:cs="Times New Roman"/>
                <w:b/>
                <w:color w:val="auto"/>
                <w:kern w:val="2"/>
                <w:sz w:val="24"/>
                <w:szCs w:val="24"/>
                <w:lang w:val="en-US" w:eastAsia="zh-CN" w:bidi="ar-SA"/>
              </w:rPr>
            </w:pPr>
            <w:r>
              <w:rPr>
                <w:rFonts w:hint="eastAsia" w:eastAsia="仿宋" w:cs="Times New Roman"/>
                <w:b/>
                <w:color w:val="auto"/>
                <w:kern w:val="2"/>
                <w:sz w:val="24"/>
                <w:szCs w:val="24"/>
                <w:lang w:val="en-US" w:eastAsia="zh-CN" w:bidi="ar-SA"/>
              </w:rPr>
              <w:t>5.与国家林业和草原局《关于规范风电场项目建设使用林地的通知》的符合性分析</w:t>
            </w:r>
          </w:p>
          <w:p>
            <w:pPr>
              <w:pStyle w:val="105"/>
              <w:spacing w:line="240" w:lineRule="auto"/>
              <w:ind w:firstLine="480" w:firstLineChars="200"/>
              <w:jc w:val="both"/>
              <w:rPr>
                <w:rFonts w:hint="default" w:ascii="Times New Roman" w:hAnsi="Times New Roman" w:eastAsia="黑体" w:cs="Times New Roman"/>
                <w:b w:val="0"/>
                <w:color w:val="auto"/>
                <w:kern w:val="2"/>
                <w:sz w:val="24"/>
                <w:szCs w:val="24"/>
                <w:lang w:val="en-US" w:eastAsia="zh-CN" w:bidi="ar-SA"/>
              </w:rPr>
            </w:pPr>
            <w:r>
              <w:rPr>
                <w:rFonts w:hint="default" w:ascii="Times New Roman" w:hAnsi="Times New Roman" w:eastAsia="黑体" w:cs="Times New Roman"/>
                <w:b w:val="0"/>
                <w:color w:val="auto"/>
                <w:kern w:val="2"/>
                <w:sz w:val="24"/>
                <w:szCs w:val="24"/>
                <w:lang w:val="en-US" w:eastAsia="zh-CN" w:bidi="ar-SA"/>
              </w:rPr>
              <w:t>表1   项目与《关于规范风电场项目建设使用林地的通知》的符合性分析</w:t>
            </w:r>
          </w:p>
          <w:tbl>
            <w:tblPr>
              <w:tblStyle w:val="29"/>
              <w:tblW w:w="8238"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487"/>
              <w:gridCol w:w="2234"/>
              <w:gridCol w:w="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792"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文件</w:t>
                  </w:r>
                </w:p>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名称</w:t>
                  </w:r>
                </w:p>
              </w:tc>
              <w:tc>
                <w:tcPr>
                  <w:tcW w:w="44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内容</w:t>
                  </w:r>
                </w:p>
              </w:tc>
              <w:tc>
                <w:tcPr>
                  <w:tcW w:w="2234"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本项目名称</w:t>
                  </w:r>
                </w:p>
              </w:tc>
              <w:tc>
                <w:tcPr>
                  <w:tcW w:w="725"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国家林业和草原局关于</w:t>
                  </w:r>
                </w:p>
              </w:tc>
              <w:tc>
                <w:tcPr>
                  <w:tcW w:w="44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严格保护生态功能重要、生态脆弱敏感区域的林地。自然遗产地、国家公园、自然保护区、森林公园、湿地公园、地质公园、风景名胜区、鸟类主要迁徙通道和迁徙地等区域以及沿海基干林带和消浪林带，为风电场项目禁止建设区域。</w:t>
                  </w:r>
                </w:p>
              </w:tc>
              <w:tc>
                <w:tcPr>
                  <w:tcW w:w="2234"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本项目位于海原县内</w:t>
                  </w:r>
                  <w:r>
                    <w:rPr>
                      <w:rFonts w:hint="default" w:ascii="Times New Roman" w:hAnsi="Times New Roman" w:eastAsia="宋体" w:cs="Times New Roman"/>
                      <w:b w:val="0"/>
                      <w:bCs w:val="0"/>
                      <w:color w:val="auto"/>
                      <w:kern w:val="2"/>
                      <w:sz w:val="21"/>
                      <w:szCs w:val="21"/>
                      <w:lang w:val="en-US" w:eastAsia="zh-CN"/>
                    </w:rPr>
                    <w:t>，不在</w:t>
                  </w:r>
                  <w:r>
                    <w:rPr>
                      <w:rFonts w:hint="eastAsia" w:ascii="Times New Roman" w:hAnsi="Times New Roman" w:eastAsia="宋体" w:cs="Times New Roman"/>
                      <w:b w:val="0"/>
                      <w:bCs w:val="0"/>
                      <w:color w:val="auto"/>
                      <w:kern w:val="2"/>
                      <w:sz w:val="21"/>
                      <w:szCs w:val="21"/>
                      <w:lang w:val="en-US" w:eastAsia="zh-CN"/>
                    </w:rPr>
                    <w:t>风电场</w:t>
                  </w:r>
                  <w:r>
                    <w:rPr>
                      <w:rFonts w:hint="default" w:ascii="Times New Roman" w:hAnsi="Times New Roman" w:eastAsia="宋体" w:cs="Times New Roman"/>
                      <w:b w:val="0"/>
                      <w:bCs w:val="0"/>
                      <w:color w:val="auto"/>
                      <w:kern w:val="2"/>
                      <w:sz w:val="21"/>
                      <w:szCs w:val="21"/>
                      <w:lang w:val="en-US" w:eastAsia="zh-CN"/>
                    </w:rPr>
                    <w:t>禁止建设区域内。</w:t>
                  </w:r>
                </w:p>
              </w:tc>
              <w:tc>
                <w:tcPr>
                  <w:tcW w:w="725"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p>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p>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p>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21"/>
                      <w:szCs w:val="21"/>
                      <w:lang w:val="en-US" w:eastAsia="zh-CN"/>
                    </w:rPr>
                  </w:pPr>
                  <w:r>
                    <w:rPr>
                      <w:rFonts w:hint="eastAsia" w:ascii="宋体" w:hAnsi="宋体" w:eastAsia="宋体" w:cs="宋体"/>
                      <w:color w:val="auto"/>
                      <w:sz w:val="21"/>
                      <w:szCs w:val="21"/>
                      <w:lang w:val="en-US" w:eastAsia="zh-CN"/>
                    </w:rPr>
                    <w:t>规范风电场项目建</w:t>
                  </w:r>
                  <w:r>
                    <w:rPr>
                      <w:rFonts w:hint="default" w:ascii="Times New Roman" w:hAnsi="Times New Roman" w:eastAsia="宋体" w:cs="Times New Roman"/>
                      <w:color w:val="auto"/>
                      <w:sz w:val="21"/>
                      <w:szCs w:val="21"/>
                      <w:lang w:val="en-US" w:eastAsia="zh-CN"/>
                    </w:rPr>
                    <w:t>设使用林地的通知林资发〔2019〕17号</w:t>
                  </w:r>
                </w:p>
              </w:tc>
              <w:tc>
                <w:tcPr>
                  <w:tcW w:w="4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kern w:val="2"/>
                      <w:sz w:val="21"/>
                      <w:szCs w:val="21"/>
                      <w:lang w:val="en-US" w:eastAsia="zh-CN"/>
                    </w:rPr>
                  </w:pPr>
                  <w:r>
                    <w:rPr>
                      <w:rFonts w:hint="eastAsia" w:ascii="宋体" w:hAnsi="宋体" w:eastAsia="宋体" w:cs="宋体"/>
                      <w:color w:val="auto"/>
                      <w:sz w:val="21"/>
                      <w:szCs w:val="21"/>
                      <w:lang w:val="en-US" w:eastAsia="zh-CN"/>
                    </w:rPr>
                    <w:t>风机基础、施工和检修道路、升压站、集电线路等，禁止占用天然乔木林（竹林）地、年降雨量400毫米以下区域的有林地、一级</w:t>
                  </w:r>
                  <w:r>
                    <w:rPr>
                      <w:rFonts w:hint="default" w:ascii="Times New Roman" w:hAnsi="Times New Roman" w:eastAsia="宋体" w:cs="Times New Roman"/>
                      <w:color w:val="auto"/>
                      <w:sz w:val="21"/>
                      <w:szCs w:val="21"/>
                      <w:lang w:val="en-US" w:eastAsia="zh-CN"/>
                    </w:rPr>
                    <w:t>国家级公益林地和二级国家级公益林中的有林地。本通知下发之前已经核准但未取得使用林地手续的风电场项目，要重新合理优化选址和建设方案，加强生态影响分析和评估，不得占用年降雨量400毫米以下区域的有林地和一级国家级公益林地，避让二级国家级公益林中有林地集中区域。</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kern w:val="2"/>
                      <w:sz w:val="21"/>
                      <w:szCs w:val="21"/>
                      <w:lang w:val="en-US" w:eastAsia="zh-CN"/>
                    </w:rPr>
                  </w:pPr>
                  <w:r>
                    <w:rPr>
                      <w:rFonts w:hint="eastAsia" w:ascii="宋体" w:hAnsi="宋体" w:eastAsia="宋体" w:cs="宋体"/>
                      <w:color w:val="auto"/>
                      <w:sz w:val="21"/>
                      <w:szCs w:val="21"/>
                      <w:lang w:val="en-US" w:eastAsia="zh-CN"/>
                    </w:rPr>
                    <w:t>本项目风机基础、施工和检修道路</w:t>
                  </w:r>
                  <w:r>
                    <w:rPr>
                      <w:rFonts w:hint="eastAsia" w:ascii="宋体" w:hAnsi="宋体" w:cs="宋体"/>
                      <w:color w:val="auto"/>
                      <w:sz w:val="21"/>
                      <w:szCs w:val="21"/>
                      <w:lang w:val="en-US" w:eastAsia="zh-CN"/>
                    </w:rPr>
                    <w:t>等均</w:t>
                  </w:r>
                  <w:r>
                    <w:rPr>
                      <w:rFonts w:hint="eastAsia" w:ascii="宋体" w:hAnsi="宋体" w:eastAsia="宋体" w:cs="宋体"/>
                      <w:color w:val="auto"/>
                      <w:sz w:val="21"/>
                      <w:szCs w:val="21"/>
                      <w:lang w:val="en-US" w:eastAsia="zh-CN"/>
                    </w:rPr>
                    <w:t>不占用天然乔木林（竹林）地、年降雨量</w:t>
                  </w:r>
                  <w:r>
                    <w:rPr>
                      <w:rFonts w:hint="default" w:ascii="Times New Roman" w:hAnsi="Times New Roman" w:eastAsia="宋体" w:cs="Times New Roman"/>
                      <w:color w:val="auto"/>
                      <w:sz w:val="21"/>
                      <w:szCs w:val="21"/>
                      <w:lang w:val="en-US" w:eastAsia="zh-CN"/>
                    </w:rPr>
                    <w:t>400毫米以下区域的有林地、一级国家级公益林地和二级国家级</w:t>
                  </w:r>
                  <w:r>
                    <w:rPr>
                      <w:rFonts w:hint="eastAsia" w:ascii="宋体" w:hAnsi="宋体" w:eastAsia="宋体" w:cs="宋体"/>
                      <w:color w:val="auto"/>
                      <w:sz w:val="21"/>
                      <w:szCs w:val="21"/>
                      <w:lang w:val="en-US" w:eastAsia="zh-CN"/>
                    </w:rPr>
                    <w:t>公益林中的有林地</w:t>
                  </w:r>
                  <w:r>
                    <w:rPr>
                      <w:rFonts w:hint="default" w:ascii="Times New Roman" w:hAnsi="Times New Roman" w:eastAsia="宋体" w:cs="Times New Roman"/>
                      <w:color w:val="auto"/>
                      <w:sz w:val="21"/>
                      <w:szCs w:val="21"/>
                      <w:lang w:val="en-US" w:eastAsia="zh-CN"/>
                    </w:rPr>
                    <w:t>。</w:t>
                  </w:r>
                </w:p>
              </w:tc>
              <w:tc>
                <w:tcPr>
                  <w:tcW w:w="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kern w:val="2"/>
                      <w:sz w:val="21"/>
                      <w:szCs w:val="21"/>
                      <w:lang w:val="en-US" w:eastAsia="zh-CN"/>
                    </w:rPr>
                  </w:pPr>
                  <w:r>
                    <w:rPr>
                      <w:rFonts w:hint="eastAsia" w:ascii="宋体" w:hAnsi="宋体" w:eastAsia="宋体" w:cs="宋体"/>
                      <w:color w:val="auto"/>
                      <w:sz w:val="21"/>
                      <w:szCs w:val="21"/>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kern w:val="2"/>
                      <w:sz w:val="21"/>
                      <w:szCs w:val="21"/>
                      <w:lang w:val="en-US" w:eastAsia="zh-CN"/>
                    </w:rPr>
                  </w:pPr>
                </w:p>
              </w:tc>
              <w:tc>
                <w:tcPr>
                  <w:tcW w:w="4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color w:val="auto"/>
                      <w:kern w:val="0"/>
                      <w:sz w:val="21"/>
                      <w:szCs w:val="21"/>
                      <w:lang w:val="en-US" w:eastAsia="zh-CN" w:bidi="ar"/>
                    </w:rPr>
                    <w:t>风电场施工和检修道路，应尽可能利用现有森林防火道路、林区道路、乡村道路等道路，在其基础上扩建的风电场道路原则上不得改变现有道路性质。风电场新建配套道路应与风电场一同办理使用林地手续，风电场配套道路要严格控制道路宽度，提高标准，合理建设排水沟、过水涵洞、挡土墙等设施；严格按照设计规范施工，禁止强推强挖式放坡施工，防止废弃砂石任意放置和随意滚落，同步实施水土保持和恢复林业生产条件的措施</w:t>
                  </w:r>
                  <w:r>
                    <w:rPr>
                      <w:rFonts w:hint="default" w:ascii="Times New Roman" w:hAnsi="Times New Roman" w:eastAsia="宋体" w:cs="Times New Roman"/>
                      <w:color w:val="auto"/>
                      <w:kern w:val="0"/>
                      <w:sz w:val="21"/>
                      <w:szCs w:val="21"/>
                      <w:highlight w:val="none"/>
                      <w:lang w:val="en-US" w:eastAsia="zh-CN" w:bidi="ar"/>
                    </w:rPr>
                    <w:t>。吊装平台、施工道路、集电线路等临时占用林地的，应在临时占用林地期满后一年内恢复林业生产条件，并及时恢复植</w:t>
                  </w:r>
                  <w:r>
                    <w:rPr>
                      <w:rFonts w:hint="default" w:ascii="Times New Roman" w:hAnsi="Times New Roman" w:eastAsia="宋体" w:cs="Times New Roman"/>
                      <w:color w:val="auto"/>
                      <w:sz w:val="21"/>
                      <w:szCs w:val="21"/>
                      <w:highlight w:val="none"/>
                      <w:lang w:val="en-US" w:eastAsia="zh-CN"/>
                    </w:rPr>
                    <w:t>被。</w:t>
                  </w:r>
                </w:p>
              </w:tc>
              <w:tc>
                <w:tcPr>
                  <w:tcW w:w="22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kern w:val="2"/>
                      <w:sz w:val="21"/>
                      <w:szCs w:val="21"/>
                      <w:lang w:val="en-US" w:eastAsia="zh-CN"/>
                    </w:rPr>
                  </w:pPr>
                  <w:r>
                    <w:rPr>
                      <w:rFonts w:hint="eastAsia" w:ascii="Times New Roman" w:hAnsi="Times New Roman" w:eastAsia="宋体" w:cs="Times New Roman"/>
                      <w:color w:val="auto"/>
                      <w:sz w:val="21"/>
                      <w:szCs w:val="21"/>
                      <w:highlight w:val="none"/>
                      <w:lang w:val="en-US" w:eastAsia="zh-CN"/>
                    </w:rPr>
                    <w:t>本项目为新建项目，</w:t>
                  </w:r>
                  <w:r>
                    <w:rPr>
                      <w:rFonts w:hint="default" w:ascii="Times New Roman" w:hAnsi="Times New Roman" w:eastAsia="宋体" w:cs="Times New Roman"/>
                      <w:color w:val="auto"/>
                      <w:sz w:val="21"/>
                      <w:szCs w:val="21"/>
                      <w:lang w:val="en-US" w:eastAsia="zh-CN"/>
                    </w:rPr>
                    <w:t>风电场的施工及检修道路同永久道路一同考虑，充分利用了原有道路。风电场配套道路严格控制道路宽度，提高标准，合理建设排水沟挡土墙等措施，严格按照设计规范施工，并及时恢复植被。</w:t>
                  </w:r>
                  <w:r>
                    <w:rPr>
                      <w:rFonts w:hint="eastAsia" w:cs="Times New Roman"/>
                      <w:color w:val="auto"/>
                      <w:sz w:val="21"/>
                      <w:szCs w:val="21"/>
                      <w:lang w:val="en-US" w:eastAsia="zh-CN"/>
                    </w:rPr>
                    <w:t>本项目临时占</w:t>
                  </w:r>
                  <w:r>
                    <w:rPr>
                      <w:rFonts w:hint="eastAsia" w:cs="Times New Roman"/>
                      <w:color w:val="auto"/>
                      <w:sz w:val="21"/>
                      <w:szCs w:val="21"/>
                      <w:highlight w:val="none"/>
                      <w:lang w:val="en-US" w:eastAsia="zh-CN"/>
                    </w:rPr>
                    <w:t>地占用林地，企业应在临时占用林地期满后一年内恢复林业生产条件，并及时恢复植被。</w:t>
                  </w:r>
                </w:p>
              </w:tc>
              <w:tc>
                <w:tcPr>
                  <w:tcW w:w="7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color w:val="auto"/>
                      <w:sz w:val="21"/>
                      <w:szCs w:val="21"/>
                      <w:lang w:val="en-US" w:eastAsia="zh-CN"/>
                    </w:rPr>
                    <w:t>符合</w:t>
                  </w:r>
                </w:p>
              </w:tc>
            </w:tr>
          </w:tbl>
          <w:p>
            <w:pPr>
              <w:pStyle w:val="49"/>
              <w:keepNext w:val="0"/>
              <w:keepLines w:val="0"/>
              <w:pageBreakBefore w:val="0"/>
              <w:widowControl w:val="0"/>
              <w:kinsoku/>
              <w:wordWrap/>
              <w:topLinePunct w:val="0"/>
              <w:autoSpaceDE/>
              <w:autoSpaceDN/>
              <w:bidi w:val="0"/>
              <w:adjustRightInd w:val="0"/>
              <w:spacing w:line="360" w:lineRule="auto"/>
              <w:rPr>
                <w:rFonts w:hint="default" w:ascii="Times New Roman" w:hAnsi="Times New Roman" w:eastAsia="仿宋" w:cs="Times New Roman"/>
                <w:b w:val="0"/>
                <w:bCs/>
                <w:color w:val="auto"/>
                <w:kern w:val="2"/>
                <w:sz w:val="24"/>
                <w:szCs w:val="24"/>
                <w:lang w:val="en-US" w:eastAsia="zh-CN" w:bidi="ar-SA"/>
              </w:rPr>
            </w:pPr>
            <w:r>
              <w:rPr>
                <w:rFonts w:hint="eastAsia" w:eastAsia="仿宋" w:cs="Times New Roman"/>
                <w:b w:val="0"/>
                <w:bCs/>
                <w:color w:val="auto"/>
                <w:kern w:val="2"/>
                <w:sz w:val="24"/>
                <w:szCs w:val="24"/>
                <w:lang w:val="en-US" w:eastAsia="zh-CN" w:bidi="ar-SA"/>
              </w:rPr>
              <w:t>本项目</w:t>
            </w:r>
            <w:r>
              <w:rPr>
                <w:rFonts w:hint="default" w:ascii="Times New Roman" w:hAnsi="Times New Roman" w:eastAsia="仿宋" w:cs="Times New Roman"/>
                <w:b w:val="0"/>
                <w:bCs/>
                <w:color w:val="auto"/>
                <w:kern w:val="2"/>
                <w:sz w:val="24"/>
                <w:szCs w:val="24"/>
                <w:lang w:val="en-US" w:eastAsia="zh-CN" w:bidi="ar-SA"/>
              </w:rPr>
              <w:t>与国家林业和草原局《关于规范风电场项目建设使用林地的通知》</w:t>
            </w:r>
            <w:r>
              <w:rPr>
                <w:rFonts w:hint="eastAsia" w:eastAsia="仿宋" w:cs="Times New Roman"/>
                <w:b w:val="0"/>
                <w:bCs/>
                <w:color w:val="auto"/>
                <w:kern w:val="2"/>
                <w:sz w:val="24"/>
                <w:szCs w:val="24"/>
                <w:lang w:val="en-US" w:eastAsia="zh-CN" w:bidi="ar-SA"/>
              </w:rPr>
              <w:t>相符。</w:t>
            </w:r>
          </w:p>
          <w:p>
            <w:pPr>
              <w:pStyle w:val="48"/>
              <w:keepNext w:val="0"/>
              <w:keepLines w:val="0"/>
              <w:pageBreakBefore w:val="0"/>
              <w:widowControl w:val="0"/>
              <w:kinsoku/>
              <w:wordWrap/>
              <w:topLinePunct w:val="0"/>
              <w:autoSpaceDE/>
              <w:autoSpaceDN/>
              <w:bidi w:val="0"/>
              <w:adjustRightInd w:val="0"/>
              <w:spacing w:line="336" w:lineRule="auto"/>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6.</w:t>
            </w:r>
            <w:r>
              <w:rPr>
                <w:rFonts w:hint="default" w:ascii="Times New Roman" w:hAnsi="Times New Roman" w:eastAsia="仿宋" w:cs="Times New Roman"/>
                <w:color w:val="auto"/>
                <w:lang w:val="en-US" w:eastAsia="zh-CN"/>
              </w:rPr>
              <w:t>产业政策符合性分析</w:t>
            </w:r>
          </w:p>
          <w:p>
            <w:pPr>
              <w:pStyle w:val="49"/>
              <w:keepNext w:val="0"/>
              <w:keepLines w:val="0"/>
              <w:pageBreakBefore w:val="0"/>
              <w:widowControl w:val="0"/>
              <w:kinsoku/>
              <w:wordWrap/>
              <w:topLinePunct w:val="0"/>
              <w:autoSpaceDE/>
              <w:autoSpaceDN/>
              <w:bidi w:val="0"/>
              <w:adjustRightInd w:val="0"/>
              <w:spacing w:line="360" w:lineRule="auto"/>
              <w:rPr>
                <w:rFonts w:hint="eastAsia" w:ascii="Times New Roman" w:hAnsi="Times New Roman" w:eastAsia="仿宋" w:cs="Times New Roman"/>
                <w:b w:val="0"/>
                <w:bCs/>
                <w:color w:val="auto"/>
                <w:kern w:val="2"/>
                <w:sz w:val="24"/>
                <w:szCs w:val="24"/>
                <w:lang w:val="en-US" w:eastAsia="zh-CN" w:bidi="ar-SA"/>
              </w:rPr>
            </w:pPr>
            <w:r>
              <w:rPr>
                <w:rFonts w:hint="eastAsia" w:ascii="Times New Roman" w:hAnsi="Times New Roman" w:eastAsia="仿宋" w:cs="Times New Roman"/>
                <w:b w:val="0"/>
                <w:bCs/>
                <w:color w:val="auto"/>
                <w:kern w:val="2"/>
                <w:sz w:val="24"/>
                <w:szCs w:val="24"/>
                <w:lang w:val="en-US" w:eastAsia="zh-CN" w:bidi="ar-SA"/>
              </w:rPr>
              <w:t>本项目属于风力发电项目，位于</w:t>
            </w:r>
            <w:r>
              <w:rPr>
                <w:rFonts w:hint="eastAsia" w:eastAsia="仿宋" w:cs="Times New Roman"/>
                <w:b w:val="0"/>
                <w:bCs/>
                <w:color w:val="auto"/>
                <w:kern w:val="2"/>
                <w:sz w:val="24"/>
                <w:szCs w:val="24"/>
                <w:lang w:val="en-US" w:eastAsia="zh-CN" w:bidi="ar-SA"/>
              </w:rPr>
              <w:t>海原县</w:t>
            </w:r>
            <w:r>
              <w:rPr>
                <w:rFonts w:hint="eastAsia" w:ascii="Times New Roman" w:hAnsi="Times New Roman" w:eastAsia="仿宋" w:cs="Times New Roman"/>
                <w:b w:val="0"/>
                <w:bCs/>
                <w:color w:val="auto"/>
                <w:kern w:val="2"/>
                <w:sz w:val="24"/>
                <w:szCs w:val="24"/>
                <w:lang w:val="en-US" w:eastAsia="zh-CN" w:bidi="ar-SA"/>
              </w:rPr>
              <w:t>，属于《产业结构调整指导目录（2024年本）》中“鼓励类”中“五、新能源 ……山区风电场建设与设备生产制造……”中的山区风电场建设，属于鼓励类项目，符合《产业结构调整指导目录（2024年本）》。</w:t>
            </w:r>
          </w:p>
          <w:p>
            <w:pPr>
              <w:pStyle w:val="49"/>
              <w:keepNext w:val="0"/>
              <w:keepLines w:val="0"/>
              <w:pageBreakBefore w:val="0"/>
              <w:widowControl w:val="0"/>
              <w:kinsoku/>
              <w:wordWrap/>
              <w:topLinePunct w:val="0"/>
              <w:autoSpaceDE/>
              <w:autoSpaceDN/>
              <w:bidi w:val="0"/>
              <w:adjustRightInd w:val="0"/>
              <w:spacing w:line="240" w:lineRule="auto"/>
              <w:rPr>
                <w:rFonts w:hint="default" w:ascii="Times New Roman" w:hAnsi="Times New Roman" w:eastAsia="仿宋" w:cs="Times New Roman"/>
                <w:b/>
                <w:color w:val="auto"/>
                <w:kern w:val="2"/>
                <w:sz w:val="24"/>
                <w:szCs w:val="24"/>
                <w:lang w:val="en-US" w:eastAsia="zh-CN" w:bidi="ar-SA"/>
              </w:rPr>
            </w:pPr>
          </w:p>
          <w:p>
            <w:pPr>
              <w:pStyle w:val="49"/>
              <w:keepNext w:val="0"/>
              <w:keepLines w:val="0"/>
              <w:pageBreakBefore w:val="0"/>
              <w:widowControl w:val="0"/>
              <w:kinsoku/>
              <w:wordWrap/>
              <w:topLinePunct w:val="0"/>
              <w:autoSpaceDE/>
              <w:autoSpaceDN/>
              <w:bidi w:val="0"/>
              <w:adjustRightInd w:val="0"/>
              <w:spacing w:line="240" w:lineRule="auto"/>
              <w:rPr>
                <w:rFonts w:hint="default" w:ascii="Times New Roman" w:hAnsi="Times New Roman" w:eastAsia="仿宋" w:cs="Times New Roman"/>
                <w:b/>
                <w:color w:val="auto"/>
                <w:kern w:val="2"/>
                <w:sz w:val="24"/>
                <w:szCs w:val="24"/>
                <w:lang w:val="en-US" w:eastAsia="zh-CN" w:bidi="ar-SA"/>
              </w:rPr>
            </w:pPr>
          </w:p>
          <w:p>
            <w:pPr>
              <w:pStyle w:val="49"/>
              <w:keepNext w:val="0"/>
              <w:keepLines w:val="0"/>
              <w:pageBreakBefore w:val="0"/>
              <w:widowControl w:val="0"/>
              <w:kinsoku/>
              <w:wordWrap/>
              <w:topLinePunct w:val="0"/>
              <w:autoSpaceDE/>
              <w:autoSpaceDN/>
              <w:bidi w:val="0"/>
              <w:adjustRightInd w:val="0"/>
              <w:spacing w:line="240" w:lineRule="auto"/>
              <w:rPr>
                <w:rFonts w:hint="default" w:ascii="Times New Roman" w:hAnsi="Times New Roman" w:eastAsia="仿宋" w:cs="Times New Roman"/>
                <w:b/>
                <w:color w:val="auto"/>
                <w:kern w:val="2"/>
                <w:sz w:val="24"/>
                <w:szCs w:val="24"/>
                <w:lang w:val="en-US" w:eastAsia="zh-CN" w:bidi="ar-SA"/>
              </w:rPr>
            </w:pPr>
          </w:p>
          <w:p>
            <w:pPr>
              <w:pStyle w:val="49"/>
              <w:keepNext w:val="0"/>
              <w:keepLines w:val="0"/>
              <w:pageBreakBefore w:val="0"/>
              <w:widowControl w:val="0"/>
              <w:kinsoku/>
              <w:wordWrap/>
              <w:topLinePunct w:val="0"/>
              <w:autoSpaceDE/>
              <w:autoSpaceDN/>
              <w:bidi w:val="0"/>
              <w:adjustRightInd w:val="0"/>
              <w:spacing w:line="240" w:lineRule="auto"/>
              <w:rPr>
                <w:rFonts w:hint="default" w:ascii="Times New Roman" w:hAnsi="Times New Roman" w:eastAsia="仿宋" w:cs="Times New Roman"/>
                <w:b/>
                <w:color w:val="auto"/>
                <w:kern w:val="2"/>
                <w:sz w:val="24"/>
                <w:szCs w:val="24"/>
                <w:lang w:val="en-US" w:eastAsia="zh-CN" w:bidi="ar-SA"/>
              </w:rPr>
            </w:pPr>
          </w:p>
          <w:p>
            <w:pPr>
              <w:pStyle w:val="49"/>
              <w:keepNext w:val="0"/>
              <w:keepLines w:val="0"/>
              <w:pageBreakBefore w:val="0"/>
              <w:widowControl w:val="0"/>
              <w:kinsoku/>
              <w:wordWrap/>
              <w:topLinePunct w:val="0"/>
              <w:autoSpaceDE/>
              <w:autoSpaceDN/>
              <w:bidi w:val="0"/>
              <w:adjustRightInd w:val="0"/>
              <w:spacing w:line="240" w:lineRule="auto"/>
              <w:rPr>
                <w:rFonts w:hint="default" w:ascii="Times New Roman" w:hAnsi="Times New Roman" w:eastAsia="仿宋" w:cs="Times New Roman"/>
                <w:b/>
                <w:color w:val="auto"/>
                <w:kern w:val="2"/>
                <w:sz w:val="24"/>
                <w:szCs w:val="24"/>
                <w:lang w:val="en-US" w:eastAsia="zh-CN" w:bidi="ar-SA"/>
              </w:rPr>
            </w:pPr>
          </w:p>
          <w:p>
            <w:pPr>
              <w:pStyle w:val="48"/>
              <w:keepNext w:val="0"/>
              <w:keepLines w:val="0"/>
              <w:pageBreakBefore w:val="0"/>
              <w:widowControl w:val="0"/>
              <w:kinsoku/>
              <w:wordWrap/>
              <w:topLinePunct w:val="0"/>
              <w:autoSpaceDE/>
              <w:autoSpaceDN/>
              <w:bidi w:val="0"/>
              <w:adjustRightInd w:val="0"/>
              <w:spacing w:line="336" w:lineRule="auto"/>
              <w:ind w:firstLine="482" w:firstLineChars="200"/>
              <w:rPr>
                <w:rFonts w:hint="default" w:ascii="Times New Roman" w:hAnsi="Times New Roman" w:eastAsia="仿宋" w:cs="Times New Roman"/>
                <w:color w:val="auto"/>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61"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其他符合性分析</w:t>
            </w:r>
          </w:p>
        </w:tc>
        <w:tc>
          <w:tcPr>
            <w:tcW w:w="8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1"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其他符合性分析</w:t>
            </w:r>
          </w:p>
        </w:tc>
        <w:tc>
          <w:tcPr>
            <w:tcW w:w="8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61"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其他符合性分析</w:t>
            </w:r>
          </w:p>
        </w:tc>
        <w:tc>
          <w:tcPr>
            <w:tcW w:w="8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81"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其他符合性分析</w:t>
            </w:r>
          </w:p>
        </w:tc>
        <w:tc>
          <w:tcPr>
            <w:tcW w:w="8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 w:val="24"/>
                <w:szCs w:val="24"/>
                <w:highlight w:val="none"/>
                <w:lang w:val="en-US" w:eastAsia="zh-CN"/>
              </w:rPr>
            </w:pPr>
          </w:p>
        </w:tc>
      </w:tr>
    </w:tbl>
    <w:p>
      <w:pPr>
        <w:rPr>
          <w:rFonts w:hint="default" w:ascii="Times New Roman" w:hAnsi="Times New Roman" w:eastAsia="黑体" w:cs="Times New Roman"/>
          <w:b/>
          <w:bCs/>
          <w:color w:val="auto"/>
          <w:sz w:val="30"/>
          <w:szCs w:val="30"/>
          <w:highlight w:val="none"/>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docGrid w:linePitch="312" w:charSpace="0"/>
        </w:sectPr>
      </w:pPr>
    </w:p>
    <w:p>
      <w:pPr>
        <w:pStyle w:val="7"/>
        <w:rPr>
          <w:rFonts w:hint="default" w:ascii="Times New Roman" w:hAnsi="Times New Roman" w:eastAsia="黑体" w:cs="Times New Roman"/>
          <w:color w:val="auto"/>
          <w:highlight w:val="none"/>
          <w:lang w:eastAsia="zh-CN"/>
        </w:rPr>
      </w:pPr>
      <w:r>
        <w:rPr>
          <w:rFonts w:hint="default" w:ascii="Times New Roman" w:hAnsi="Times New Roman" w:cs="Times New Roman"/>
          <w:color w:val="auto"/>
          <w:highlight w:val="none"/>
          <w:lang w:eastAsia="zh-CN"/>
        </w:rPr>
        <w:t>二、</w:t>
      </w:r>
      <w:r>
        <w:rPr>
          <w:rFonts w:hint="default" w:ascii="Times New Roman" w:hAnsi="Times New Roman" w:cs="Times New Roman"/>
          <w:color w:val="auto"/>
          <w:highlight w:val="none"/>
        </w:rPr>
        <w:t>建设</w:t>
      </w:r>
      <w:r>
        <w:rPr>
          <w:rFonts w:hint="default" w:ascii="Times New Roman" w:hAnsi="Times New Roman" w:cs="Times New Roman"/>
          <w:color w:val="auto"/>
          <w:highlight w:val="none"/>
          <w:lang w:eastAsia="zh-CN"/>
        </w:rPr>
        <w:t>内容</w:t>
      </w:r>
    </w:p>
    <w:tbl>
      <w:tblPr>
        <w:tblStyle w:val="28"/>
        <w:tblW w:w="92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5" w:hRule="atLeast"/>
          <w:jc w:val="center"/>
        </w:trPr>
        <w:tc>
          <w:tcPr>
            <w:tcW w:w="711" w:type="dxa"/>
            <w:vAlign w:val="center"/>
          </w:tcPr>
          <w:p>
            <w:pPr>
              <w:pStyle w:val="49"/>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地理位置</w:t>
            </w:r>
          </w:p>
        </w:tc>
        <w:tc>
          <w:tcPr>
            <w:tcW w:w="8573" w:type="dxa"/>
            <w:vAlign w:val="center"/>
          </w:tcPr>
          <w:p>
            <w:pPr>
              <w:pStyle w:val="49"/>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仿宋" w:cs="Times New Roman"/>
                <w:color w:val="auto"/>
                <w:highlight w:val="yellow"/>
                <w:lang w:val="en-US" w:eastAsia="zh-CN"/>
              </w:rPr>
            </w:pPr>
            <w:r>
              <w:rPr>
                <w:rFonts w:hint="default" w:ascii="Times New Roman" w:hAnsi="Times New Roman" w:eastAsia="仿宋" w:cs="Times New Roman"/>
                <w:color w:val="auto"/>
                <w:lang w:eastAsia="zh-CN"/>
              </w:rPr>
              <w:t>本项目位于</w:t>
            </w:r>
            <w:r>
              <w:rPr>
                <w:rFonts w:hint="default" w:ascii="Times New Roman" w:hAnsi="Times New Roman" w:eastAsia="仿宋" w:cs="Times New Roman"/>
                <w:color w:val="auto"/>
                <w:lang w:val="en-US" w:eastAsia="zh-CN"/>
              </w:rPr>
              <w:t>宁夏回族自治区中卫市海原县</w:t>
            </w:r>
            <w:r>
              <w:rPr>
                <w:rFonts w:hint="eastAsia" w:eastAsia="仿宋" w:cs="Times New Roman"/>
                <w:color w:val="auto"/>
                <w:lang w:val="en-US" w:eastAsia="zh-CN"/>
              </w:rPr>
              <w:t>境内，</w:t>
            </w:r>
            <w:r>
              <w:rPr>
                <w:rFonts w:hint="default" w:ascii="Times New Roman" w:hAnsi="Times New Roman" w:eastAsia="仿宋" w:cs="Times New Roman"/>
                <w:color w:val="auto"/>
                <w:lang w:val="en-US" w:eastAsia="zh-CN"/>
              </w:rPr>
              <w:t>共分为3个地块进行建设，各地块距海原县城直线距离约25km～65km，海拔高程在1590m～2350m之间，</w:t>
            </w:r>
            <w:r>
              <w:rPr>
                <w:rFonts w:hint="eastAsia" w:eastAsia="仿宋" w:cs="Times New Roman"/>
                <w:color w:val="auto"/>
                <w:lang w:val="en-US" w:eastAsia="zh-CN"/>
              </w:rPr>
              <w:t>地块一风机坐标范围：东经</w:t>
            </w:r>
            <w:r>
              <w:rPr>
                <w:rFonts w:hint="default" w:ascii="Times New Roman" w:hAnsi="Times New Roman" w:eastAsia="仿宋" w:cs="Times New Roman"/>
                <w:color w:val="auto"/>
                <w:lang w:val="en-US" w:eastAsia="zh-CN"/>
              </w:rPr>
              <w:t>105°23′35.545″-105°49′38.689″，北纬36°14′53.593″-36°29′37.484″</w:t>
            </w:r>
            <w:r>
              <w:rPr>
                <w:rFonts w:hint="eastAsia" w:eastAsia="仿宋" w:cs="Times New Roman"/>
                <w:color w:val="auto"/>
                <w:lang w:val="en-US" w:eastAsia="zh-CN"/>
              </w:rPr>
              <w:t>；地块二风机</w:t>
            </w:r>
            <w:r>
              <w:rPr>
                <w:rFonts w:hint="default" w:ascii="Times New Roman" w:hAnsi="Times New Roman" w:eastAsia="仿宋" w:cs="Times New Roman"/>
                <w:color w:val="auto"/>
                <w:lang w:val="en-US" w:eastAsia="zh-CN"/>
              </w:rPr>
              <w:t>坐标范围：东经105°42′12.627″-106°4′2.762″，北纬36°36′43.104″-36°49′23.143″；地块</w:t>
            </w:r>
            <w:r>
              <w:rPr>
                <w:rFonts w:hint="eastAsia" w:ascii="Times New Roman" w:hAnsi="Times New Roman" w:eastAsia="仿宋" w:cs="Times New Roman"/>
                <w:color w:val="auto"/>
                <w:lang w:val="en-US" w:eastAsia="zh-CN"/>
              </w:rPr>
              <w:t>三</w:t>
            </w:r>
            <w:r>
              <w:rPr>
                <w:rFonts w:hint="default" w:ascii="Times New Roman" w:hAnsi="Times New Roman" w:eastAsia="仿宋" w:cs="Times New Roman"/>
                <w:color w:val="auto"/>
                <w:lang w:val="en-US" w:eastAsia="zh-CN"/>
              </w:rPr>
              <w:t>风机坐标范围：东经106°20′24.173″-106°26′19.425″，北纬106°23′2.623″-36°37′32.122″；场区附近紧邻福银高速、同海高速、S205省道、S203省道、S103省道，进场路可以从附近省道引接，对外交通便利。</w:t>
            </w:r>
            <w:r>
              <w:rPr>
                <w:rFonts w:hint="eastAsia" w:eastAsia="仿宋" w:cs="Times New Roman"/>
                <w:color w:val="auto"/>
                <w:lang w:val="en-US" w:eastAsia="zh-CN"/>
              </w:rPr>
              <w:t>本项目</w:t>
            </w:r>
            <w:r>
              <w:rPr>
                <w:rFonts w:hint="eastAsia" w:eastAsia="仿宋" w:cs="Times New Roman"/>
                <w:color w:val="auto"/>
                <w:highlight w:val="none"/>
                <w:lang w:eastAsia="zh-CN"/>
              </w:rPr>
              <w:t>与海原县位置关系图</w:t>
            </w:r>
            <w:r>
              <w:rPr>
                <w:rFonts w:hint="default" w:ascii="Times New Roman" w:hAnsi="Times New Roman" w:eastAsia="仿宋" w:cs="Times New Roman"/>
                <w:color w:val="auto"/>
                <w:highlight w:val="none"/>
                <w:lang w:eastAsia="zh-CN"/>
              </w:rPr>
              <w:t>见</w:t>
            </w:r>
            <w:r>
              <w:rPr>
                <w:rFonts w:hint="default" w:ascii="Times New Roman" w:hAnsi="Times New Roman" w:eastAsia="仿宋" w:cs="Times New Roman"/>
                <w:b w:val="0"/>
                <w:bCs w:val="0"/>
                <w:color w:val="auto"/>
                <w:highlight w:val="none"/>
                <w:lang w:eastAsia="zh-CN"/>
              </w:rPr>
              <w:t>附图</w:t>
            </w:r>
            <w:r>
              <w:rPr>
                <w:rFonts w:hint="default" w:ascii="Times New Roman" w:hAnsi="Times New Roman" w:eastAsia="仿宋" w:cs="Times New Roman"/>
                <w:b w:val="0"/>
                <w:bCs w:val="0"/>
                <w:color w:val="auto"/>
                <w:highlight w:val="none"/>
                <w:lang w:val="en-US" w:eastAsia="zh-CN"/>
              </w:rPr>
              <w:t>6</w:t>
            </w:r>
            <w:r>
              <w:rPr>
                <w:rFonts w:hint="default" w:ascii="Times New Roman" w:hAnsi="Times New Roman" w:eastAsia="仿宋" w:cs="Times New Roman"/>
                <w:color w:val="auto"/>
                <w:highlight w:val="none"/>
                <w:lang w:val="en-US" w:eastAsia="zh-CN"/>
              </w:rPr>
              <w:t>。</w:t>
            </w:r>
            <w:r>
              <w:rPr>
                <w:rFonts w:hint="eastAsia" w:eastAsia="仿宋" w:cs="Times New Roman"/>
                <w:color w:val="auto"/>
                <w:highlight w:val="none"/>
                <w:lang w:val="en-US" w:eastAsia="zh-CN"/>
              </w:rPr>
              <w:t>本</w:t>
            </w:r>
            <w:r>
              <w:rPr>
                <w:rFonts w:hint="default" w:ascii="Times New Roman" w:hAnsi="Times New Roman" w:eastAsia="仿宋" w:cs="Times New Roman"/>
                <w:color w:val="auto"/>
                <w:highlight w:val="none"/>
                <w:lang w:val="en-US" w:eastAsia="zh-CN"/>
              </w:rPr>
              <w:t>项目风机点位坐标见</w:t>
            </w:r>
            <w:r>
              <w:rPr>
                <w:rFonts w:hint="eastAsia" w:eastAsia="仿宋" w:cs="Times New Roman"/>
                <w:color w:val="auto"/>
                <w:highlight w:val="none"/>
                <w:lang w:val="en-US" w:eastAsia="zh-CN"/>
              </w:rPr>
              <w:t>表5</w:t>
            </w:r>
            <w:r>
              <w:rPr>
                <w:rFonts w:hint="default" w:ascii="Times New Roman" w:hAnsi="Times New Roman" w:eastAsia="仿宋" w:cs="Times New Roman"/>
                <w:color w:val="auto"/>
                <w:highlight w:val="none"/>
                <w:lang w:val="en-US" w:eastAsia="zh-CN"/>
              </w:rPr>
              <w:t>。</w:t>
            </w:r>
          </w:p>
          <w:p>
            <w:pPr>
              <w:pStyle w:val="49"/>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b/>
                <w:bCs/>
                <w:color w:val="auto"/>
                <w:highlight w:val="yellow"/>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项目组成及规模</w:t>
            </w:r>
          </w:p>
        </w:tc>
        <w:tc>
          <w:tcPr>
            <w:tcW w:w="8573" w:type="dxa"/>
            <w:vMerge w:val="restart"/>
            <w:tcBorders>
              <w:tl2br w:val="nil"/>
              <w:tr2bl w:val="nil"/>
            </w:tcBorders>
            <w:vAlign w:val="center"/>
          </w:tcPr>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2" w:firstLineChars="2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1.项目工程内容</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eastAsia="黑体" w:cs="Times New Roman"/>
                <w:b w:val="0"/>
                <w:color w:val="auto"/>
                <w:kern w:val="2"/>
                <w:sz w:val="24"/>
                <w:szCs w:val="24"/>
                <w:lang w:val="en-US" w:eastAsia="zh-CN" w:bidi="ar-SA"/>
              </w:rPr>
            </w:pPr>
            <w:r>
              <w:rPr>
                <w:rFonts w:hint="default" w:ascii="Times New Roman" w:hAnsi="Times New Roman" w:eastAsia="仿宋" w:cs="Times New Roman"/>
                <w:color w:val="auto"/>
                <w:lang w:val="en-US" w:eastAsia="zh-CN"/>
              </w:rPr>
              <w:t>“宁湘直流”配套新能源基地海原 100 万千瓦风电项目规划总装机容量为 100</w:t>
            </w:r>
            <w:r>
              <w:rPr>
                <w:rFonts w:hint="eastAsia" w:eastAsia="仿宋" w:cs="Times New Roman"/>
                <w:color w:val="auto"/>
                <w:lang w:val="en-US" w:eastAsia="zh-CN"/>
              </w:rPr>
              <w:t>0</w:t>
            </w:r>
            <w:r>
              <w:rPr>
                <w:rFonts w:hint="default" w:ascii="Times New Roman" w:hAnsi="Times New Roman" w:eastAsia="仿宋" w:cs="Times New Roman"/>
                <w:color w:val="auto"/>
                <w:lang w:val="en-US" w:eastAsia="zh-CN"/>
              </w:rPr>
              <w:t>MW</w:t>
            </w:r>
            <w:r>
              <w:rPr>
                <w:rFonts w:hint="eastAsia" w:eastAsia="仿宋" w:cs="Times New Roman"/>
                <w:color w:val="auto"/>
                <w:lang w:val="en-US" w:eastAsia="zh-CN"/>
              </w:rPr>
              <w:t>，</w:t>
            </w:r>
            <w:r>
              <w:rPr>
                <w:rFonts w:hint="default" w:ascii="Times New Roman" w:hAnsi="Times New Roman" w:eastAsia="仿宋" w:cs="Times New Roman"/>
                <w:color w:val="auto"/>
                <w:lang w:val="en-US" w:eastAsia="zh-CN"/>
              </w:rPr>
              <w:t>共布</w:t>
            </w:r>
            <w:r>
              <w:rPr>
                <w:rFonts w:hint="default" w:ascii="Times New Roman" w:hAnsi="Times New Roman" w:eastAsia="仿宋" w:cs="Times New Roman"/>
                <w:color w:val="auto"/>
                <w:highlight w:val="none"/>
                <w:lang w:val="en-US" w:eastAsia="zh-CN"/>
              </w:rPr>
              <w:t>置 1</w:t>
            </w:r>
            <w:r>
              <w:rPr>
                <w:rFonts w:hint="eastAsia" w:eastAsia="仿宋" w:cs="Times New Roman"/>
                <w:color w:val="auto"/>
                <w:highlight w:val="none"/>
                <w:lang w:val="en-US" w:eastAsia="zh-CN"/>
              </w:rPr>
              <w:t>5</w:t>
            </w:r>
            <w:r>
              <w:rPr>
                <w:rFonts w:hint="default" w:ascii="Times New Roman" w:hAnsi="Times New Roman" w:eastAsia="仿宋" w:cs="Times New Roman"/>
                <w:color w:val="auto"/>
                <w:highlight w:val="none"/>
                <w:lang w:val="en-US" w:eastAsia="zh-CN"/>
              </w:rPr>
              <w:t xml:space="preserve">0 台 </w:t>
            </w:r>
            <w:r>
              <w:rPr>
                <w:rFonts w:hint="eastAsia" w:eastAsia="仿宋" w:cs="Times New Roman"/>
                <w:color w:val="auto"/>
                <w:highlight w:val="none"/>
                <w:lang w:val="en-US" w:eastAsia="zh-CN"/>
              </w:rPr>
              <w:t>6.67</w:t>
            </w:r>
            <w:r>
              <w:rPr>
                <w:rFonts w:hint="default" w:ascii="Times New Roman" w:hAnsi="Times New Roman" w:eastAsia="仿宋" w:cs="Times New Roman"/>
                <w:color w:val="auto"/>
                <w:highlight w:val="none"/>
                <w:lang w:val="en-US" w:eastAsia="zh-CN"/>
              </w:rPr>
              <w:t>MW 风电机组</w:t>
            </w:r>
            <w:r>
              <w:rPr>
                <w:rFonts w:hint="eastAsia" w:eastAsia="仿宋" w:cs="Times New Roman"/>
                <w:color w:val="auto"/>
                <w:highlight w:val="none"/>
                <w:lang w:val="en-US" w:eastAsia="zh-CN"/>
              </w:rPr>
              <w:t>其中，地块一布置 72台风机，地块二布置51台风机，地块三布置27台风机</w:t>
            </w:r>
            <w:r>
              <w:rPr>
                <w:rFonts w:hint="default" w:ascii="Times New Roman" w:hAnsi="Times New Roman" w:eastAsia="仿宋" w:cs="Times New Roman"/>
                <w:color w:val="auto"/>
                <w:highlight w:val="none"/>
                <w:lang w:val="en-US" w:eastAsia="zh-CN"/>
              </w:rPr>
              <w:t>。</w:t>
            </w:r>
            <w:r>
              <w:rPr>
                <w:rFonts w:hint="default" w:ascii="Times New Roman" w:hAnsi="Times New Roman" w:eastAsia="仿宋" w:cs="Times New Roman"/>
                <w:color w:val="auto"/>
                <w:lang w:val="en-US" w:eastAsia="zh-CN"/>
              </w:rPr>
              <w:t>年发电量为 214400.18 万 kW·h，年等效利用小时数为 2141.86h。</w:t>
            </w:r>
            <w:r>
              <w:rPr>
                <w:rFonts w:hint="eastAsia" w:eastAsia="仿宋" w:cs="Times New Roman"/>
                <w:b/>
                <w:bCs/>
                <w:color w:val="auto"/>
                <w:lang w:val="en-US" w:eastAsia="zh-CN"/>
              </w:rPr>
              <w:t>由于目前35KV集电线路方案未确定，所以本次评价不包含，且本次评价不包括110送出线路部分，应另行委托环评。</w:t>
            </w:r>
            <w:r>
              <w:rPr>
                <w:rFonts w:hint="default" w:ascii="Times New Roman" w:hAnsi="Times New Roman" w:eastAsia="仿宋" w:cs="Times New Roman"/>
                <w:color w:val="auto"/>
                <w:lang w:val="en-US" w:eastAsia="zh-CN"/>
              </w:rPr>
              <w:t>项目工程组成主</w:t>
            </w:r>
            <w:r>
              <w:rPr>
                <w:rFonts w:hint="default" w:ascii="Times New Roman" w:hAnsi="Times New Roman" w:eastAsia="仿宋" w:cs="Times New Roman"/>
                <w:color w:val="auto"/>
                <w:highlight w:val="none"/>
                <w:lang w:val="en-US" w:eastAsia="zh-CN"/>
              </w:rPr>
              <w:t>要包括主体工程、</w:t>
            </w:r>
            <w:r>
              <w:rPr>
                <w:rFonts w:hint="eastAsia" w:eastAsia="仿宋" w:cs="Times New Roman"/>
                <w:color w:val="auto"/>
                <w:highlight w:val="none"/>
                <w:lang w:val="en-US" w:eastAsia="zh-CN"/>
              </w:rPr>
              <w:t>辅助工程、</w:t>
            </w:r>
            <w:r>
              <w:rPr>
                <w:rFonts w:hint="default" w:ascii="Times New Roman" w:hAnsi="Times New Roman" w:eastAsia="仿宋" w:cs="Times New Roman"/>
                <w:color w:val="auto"/>
                <w:highlight w:val="none"/>
                <w:lang w:eastAsia="zh-CN"/>
              </w:rPr>
              <w:t>公用工程、临时工程以及环保工程等。具体工程组成详见表</w:t>
            </w:r>
            <w:r>
              <w:rPr>
                <w:rFonts w:hint="default" w:ascii="Times New Roman" w:hAnsi="Times New Roman" w:eastAsia="仿宋" w:cs="Times New Roman"/>
                <w:color w:val="auto"/>
                <w:highlight w:val="none"/>
                <w:lang w:val="en-US" w:eastAsia="zh-CN"/>
              </w:rPr>
              <w:t>6。</w:t>
            </w:r>
          </w:p>
          <w:p>
            <w:pPr>
              <w:pStyle w:val="105"/>
              <w:spacing w:line="240" w:lineRule="auto"/>
              <w:ind w:firstLine="480" w:firstLineChars="200"/>
              <w:jc w:val="both"/>
              <w:rPr>
                <w:rFonts w:hint="default" w:ascii="Times New Roman" w:hAnsi="Times New Roman" w:eastAsia="黑体" w:cs="Times New Roman"/>
                <w:b w:val="0"/>
                <w:color w:val="auto"/>
                <w:kern w:val="2"/>
                <w:sz w:val="24"/>
                <w:szCs w:val="24"/>
                <w:lang w:val="en-US" w:eastAsia="zh-CN" w:bidi="ar-SA"/>
              </w:rPr>
            </w:pPr>
            <w:r>
              <w:rPr>
                <w:rFonts w:hint="default" w:ascii="Times New Roman" w:hAnsi="Times New Roman" w:eastAsia="黑体" w:cs="Times New Roman"/>
                <w:b w:val="0"/>
                <w:color w:val="auto"/>
                <w:kern w:val="2"/>
                <w:sz w:val="24"/>
                <w:szCs w:val="24"/>
                <w:lang w:val="en-US" w:eastAsia="zh-CN" w:bidi="ar-SA"/>
              </w:rPr>
              <w:t>表</w:t>
            </w:r>
            <w:r>
              <w:rPr>
                <w:rFonts w:hint="eastAsia" w:ascii="Times New Roman" w:hAnsi="Times New Roman" w:cs="Times New Roman"/>
                <w:b w:val="0"/>
                <w:color w:val="auto"/>
                <w:kern w:val="2"/>
                <w:sz w:val="24"/>
                <w:szCs w:val="24"/>
                <w:lang w:val="en-US" w:eastAsia="zh-CN" w:bidi="ar-SA"/>
              </w:rPr>
              <w:t>6</w:t>
            </w:r>
            <w:r>
              <w:rPr>
                <w:rFonts w:hint="default" w:ascii="Times New Roman" w:hAnsi="Times New Roman" w:cs="Times New Roman"/>
                <w:b w:val="0"/>
                <w:color w:val="auto"/>
                <w:kern w:val="2"/>
                <w:sz w:val="24"/>
                <w:szCs w:val="24"/>
                <w:lang w:val="en-US" w:eastAsia="zh-CN" w:bidi="ar-SA"/>
              </w:rPr>
              <w:t xml:space="preserve">                    工程组成一览表</w:t>
            </w:r>
          </w:p>
          <w:tbl>
            <w:tblPr>
              <w:tblStyle w:val="28"/>
              <w:tblW w:w="81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72"/>
              <w:gridCol w:w="360"/>
              <w:gridCol w:w="615"/>
              <w:gridCol w:w="61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restart"/>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组成</w:t>
                  </w:r>
                </w:p>
              </w:tc>
              <w:tc>
                <w:tcPr>
                  <w:tcW w:w="1347" w:type="dxa"/>
                  <w:gridSpan w:val="3"/>
                  <w:vMerge w:val="restart"/>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名称</w:t>
                  </w:r>
                </w:p>
              </w:tc>
              <w:tc>
                <w:tcPr>
                  <w:tcW w:w="6144" w:type="dxa"/>
                  <w:vMerge w:val="restart"/>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color w:val="auto"/>
                      <w:sz w:val="21"/>
                      <w:szCs w:val="21"/>
                    </w:rPr>
                  </w:pPr>
                </w:p>
              </w:tc>
              <w:tc>
                <w:tcPr>
                  <w:tcW w:w="1347" w:type="dxa"/>
                  <w:gridSpan w:val="3"/>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color w:val="auto"/>
                      <w:sz w:val="21"/>
                      <w:szCs w:val="21"/>
                    </w:rPr>
                  </w:pPr>
                </w:p>
              </w:tc>
              <w:tc>
                <w:tcPr>
                  <w:tcW w:w="6144"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restart"/>
                  <w:tcBorders>
                    <w:tl2br w:val="nil"/>
                    <w:tr2bl w:val="nil"/>
                  </w:tcBorders>
                  <w:noWrap w:val="0"/>
                  <w:vAlign w:val="center"/>
                </w:tcPr>
                <w:p>
                  <w:pPr>
                    <w:keepNext w:val="0"/>
                    <w:keepLines w:val="0"/>
                    <w:pageBreakBefore w:val="0"/>
                    <w:tabs>
                      <w:tab w:val="center" w:pos="290"/>
                    </w:tabs>
                    <w:kinsoku/>
                    <w:wordWrap/>
                    <w:overflowPunct/>
                    <w:topLinePunct w:val="0"/>
                    <w:bidi w:val="0"/>
                    <w:snapToGrid w:val="0"/>
                    <w:spacing w:line="240" w:lineRule="auto"/>
                    <w:ind w:left="0" w:leftChars="0" w:right="0" w:rightChars="0"/>
                    <w:contextualSpacing/>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主体工程</w:t>
                  </w:r>
                </w:p>
              </w:tc>
              <w:tc>
                <w:tcPr>
                  <w:tcW w:w="372"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风力</w:t>
                  </w:r>
                </w:p>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发电</w:t>
                  </w:r>
                </w:p>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机组</w:t>
                  </w:r>
                </w:p>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color w:val="auto"/>
                      <w:sz w:val="21"/>
                      <w:szCs w:val="21"/>
                    </w:rPr>
                  </w:pPr>
                </w:p>
              </w:tc>
              <w:tc>
                <w:tcPr>
                  <w:tcW w:w="360"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风机</w:t>
                  </w:r>
                </w:p>
              </w:tc>
              <w:tc>
                <w:tcPr>
                  <w:tcW w:w="61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w:t>
                  </w:r>
                </w:p>
              </w:tc>
              <w:tc>
                <w:tcPr>
                  <w:tcW w:w="614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eastAsia="zh-CN"/>
                    </w:rPr>
                    <w:t>安装</w:t>
                  </w:r>
                  <w:r>
                    <w:rPr>
                      <w:rFonts w:hint="eastAsia" w:cs="Times New Roman"/>
                      <w:color w:val="auto"/>
                      <w:kern w:val="0"/>
                      <w:sz w:val="21"/>
                      <w:szCs w:val="21"/>
                      <w:lang w:val="en-US" w:eastAsia="zh-CN"/>
                    </w:rPr>
                    <w:t>150</w:t>
                  </w:r>
                  <w:r>
                    <w:rPr>
                      <w:rFonts w:hint="default" w:ascii="Times New Roman" w:hAnsi="Times New Roman" w:eastAsia="宋体" w:cs="Times New Roman"/>
                      <w:color w:val="auto"/>
                      <w:kern w:val="0"/>
                      <w:sz w:val="21"/>
                      <w:szCs w:val="21"/>
                      <w:lang w:val="en-US" w:eastAsia="zh-CN"/>
                    </w:rPr>
                    <w:t>台单机容量</w:t>
                  </w:r>
                  <w:r>
                    <w:rPr>
                      <w:rFonts w:hint="eastAsia" w:ascii="Times New Roman" w:hAnsi="Times New Roman" w:eastAsia="宋体" w:cs="Times New Roman"/>
                      <w:color w:val="auto"/>
                      <w:kern w:val="0"/>
                      <w:sz w:val="21"/>
                      <w:szCs w:val="21"/>
                      <w:highlight w:val="none"/>
                      <w:lang w:val="en-US" w:eastAsia="zh-CN"/>
                    </w:rPr>
                    <w:t>为</w:t>
                  </w:r>
                  <w:r>
                    <w:rPr>
                      <w:rFonts w:hint="eastAsia" w:cs="Times New Roman"/>
                      <w:color w:val="auto"/>
                      <w:kern w:val="0"/>
                      <w:sz w:val="21"/>
                      <w:szCs w:val="21"/>
                      <w:highlight w:val="none"/>
                      <w:lang w:val="en-US" w:eastAsia="zh-CN"/>
                    </w:rPr>
                    <w:t>6.67M</w:t>
                  </w:r>
                  <w:r>
                    <w:rPr>
                      <w:rFonts w:hint="default" w:ascii="Times New Roman" w:hAnsi="Times New Roman" w:eastAsia="宋体" w:cs="Times New Roman"/>
                      <w:b w:val="0"/>
                      <w:bCs w:val="0"/>
                      <w:color w:val="auto"/>
                      <w:sz w:val="21"/>
                      <w:szCs w:val="21"/>
                      <w:highlight w:val="none"/>
                      <w:lang w:val="en-US" w:eastAsia="zh-CN"/>
                    </w:rPr>
                    <w:t>W</w:t>
                  </w:r>
                  <w:r>
                    <w:rPr>
                      <w:rFonts w:hint="default" w:ascii="Times New Roman" w:hAnsi="Times New Roman" w:eastAsia="宋体" w:cs="Times New Roman"/>
                      <w:color w:val="auto"/>
                      <w:kern w:val="0"/>
                      <w:sz w:val="21"/>
                      <w:szCs w:val="21"/>
                      <w:highlight w:val="none"/>
                      <w:lang w:val="en-US" w:eastAsia="zh-CN"/>
                    </w:rPr>
                    <w:t>风</w:t>
                  </w:r>
                  <w:r>
                    <w:rPr>
                      <w:rFonts w:hint="default" w:ascii="Times New Roman" w:hAnsi="Times New Roman" w:eastAsia="宋体" w:cs="Times New Roman"/>
                      <w:color w:val="auto"/>
                      <w:kern w:val="0"/>
                      <w:sz w:val="21"/>
                      <w:szCs w:val="21"/>
                      <w:lang w:val="en-US" w:eastAsia="zh-CN"/>
                    </w:rPr>
                    <w:t>力发电机</w:t>
                  </w:r>
                  <w:r>
                    <w:rPr>
                      <w:rFonts w:hint="eastAsia" w:ascii="Times New Roman" w:hAnsi="Times New Roman" w:eastAsia="宋体" w:cs="Times New Roman"/>
                      <w:color w:val="auto"/>
                      <w:kern w:val="0"/>
                      <w:sz w:val="21"/>
                      <w:szCs w:val="21"/>
                      <w:lang w:val="en-US" w:eastAsia="zh-CN"/>
                    </w:rPr>
                    <w:t>组，</w:t>
                  </w:r>
                  <w:r>
                    <w:rPr>
                      <w:rFonts w:hint="eastAsia" w:ascii="Times New Roman" w:hAnsi="Times New Roman" w:eastAsia="宋体" w:cs="Times New Roman"/>
                      <w:color w:val="auto"/>
                      <w:kern w:val="0"/>
                      <w:sz w:val="21"/>
                      <w:szCs w:val="21"/>
                      <w:lang w:eastAsia="zh-CN"/>
                    </w:rPr>
                    <w:t>转轴类型为三叶片水平轴</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1"/>
                    </w:rPr>
                    <w:t>风轮直径为</w:t>
                  </w:r>
                  <w:r>
                    <w:rPr>
                      <w:rFonts w:hint="default" w:ascii="Times New Roman" w:hAnsi="Times New Roman" w:eastAsia="宋体" w:cs="Times New Roman"/>
                      <w:color w:val="auto"/>
                      <w:sz w:val="21"/>
                      <w:szCs w:val="21"/>
                      <w:lang w:val="en-US" w:eastAsia="zh-CN"/>
                    </w:rPr>
                    <w:t>2</w:t>
                  </w: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rPr>
                    <w:t>m，</w:t>
                  </w:r>
                  <w:r>
                    <w:rPr>
                      <w:rFonts w:hint="eastAsia" w:ascii="Times New Roman" w:hAnsi="Times New Roman" w:eastAsia="宋体" w:cs="Times New Roman"/>
                      <w:color w:val="auto"/>
                      <w:sz w:val="21"/>
                      <w:szCs w:val="21"/>
                      <w:lang w:eastAsia="zh-CN"/>
                    </w:rPr>
                    <w:t>扫风面积</w:t>
                  </w:r>
                  <w:r>
                    <w:rPr>
                      <w:rFonts w:hint="default" w:ascii="Times New Roman" w:hAnsi="Times New Roman" w:eastAsia="宋体" w:cs="Times New Roman"/>
                      <w:color w:val="auto"/>
                      <w:sz w:val="21"/>
                      <w:szCs w:val="21"/>
                      <w:lang w:val="en-US" w:eastAsia="zh-CN"/>
                    </w:rPr>
                    <w:t>3</w:t>
                  </w:r>
                  <w:r>
                    <w:rPr>
                      <w:rFonts w:hint="eastAsia" w:cs="Times New Roman"/>
                      <w:color w:val="auto"/>
                      <w:sz w:val="21"/>
                      <w:szCs w:val="21"/>
                      <w:lang w:val="en-US" w:eastAsia="zh-CN"/>
                    </w:rPr>
                    <w:t>8013</w:t>
                  </w:r>
                  <w:r>
                    <w:rPr>
                      <w:rFonts w:hint="default" w:ascii="Times New Roman" w:hAnsi="Times New Roman" w:eastAsia="宋体" w:cs="Times New Roman"/>
                      <w:color w:val="auto"/>
                      <w:sz w:val="21"/>
                      <w:szCs w:val="21"/>
                      <w:lang w:val="en-US" w:eastAsia="zh-CN"/>
                    </w:rPr>
                    <w:t>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轮毂高度为</w:t>
                  </w:r>
                  <w:r>
                    <w:rPr>
                      <w:rFonts w:hint="default" w:ascii="Times New Roman" w:hAnsi="Times New Roman" w:eastAsia="宋体" w:cs="Times New Roman"/>
                      <w:color w:val="auto"/>
                      <w:sz w:val="21"/>
                      <w:szCs w:val="21"/>
                      <w:lang w:val="en-US" w:eastAsia="zh-CN"/>
                    </w:rPr>
                    <w:t>1</w:t>
                  </w:r>
                  <w:r>
                    <w:rPr>
                      <w:rFonts w:hint="eastAsia"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m，额定功率为</w:t>
                  </w:r>
                  <w:r>
                    <w:rPr>
                      <w:rFonts w:hint="eastAsia" w:cs="Times New Roman"/>
                      <w:color w:val="auto"/>
                      <w:sz w:val="21"/>
                      <w:szCs w:val="21"/>
                      <w:highlight w:val="none"/>
                      <w:lang w:val="en-US" w:eastAsia="zh-CN"/>
                    </w:rPr>
                    <w:t>6667</w:t>
                  </w:r>
                  <w:r>
                    <w:rPr>
                      <w:rFonts w:hint="default" w:ascii="Times New Roman" w:hAnsi="Times New Roman" w:eastAsia="宋体" w:cs="Times New Roman"/>
                      <w:color w:val="auto"/>
                      <w:sz w:val="21"/>
                      <w:szCs w:val="21"/>
                      <w:highlight w:val="none"/>
                      <w:lang w:val="en-US" w:eastAsia="zh-CN"/>
                    </w:rPr>
                    <w:t>KW</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额定</w:t>
                  </w:r>
                  <w:r>
                    <w:rPr>
                      <w:rFonts w:hint="default" w:ascii="Times New Roman" w:hAnsi="Times New Roman" w:eastAsia="宋体" w:cs="Times New Roman"/>
                      <w:color w:val="auto"/>
                      <w:sz w:val="21"/>
                      <w:szCs w:val="21"/>
                      <w:lang w:val="en-US" w:eastAsia="zh-CN"/>
                    </w:rPr>
                    <w:t>风速为12/9/10.5m/s，</w:t>
                  </w:r>
                  <w:r>
                    <w:rPr>
                      <w:rFonts w:hint="default" w:ascii="Times New Roman" w:hAnsi="Times New Roman" w:eastAsia="宋体" w:cs="Times New Roman"/>
                      <w:color w:val="auto"/>
                      <w:sz w:val="21"/>
                      <w:szCs w:val="21"/>
                    </w:rPr>
                    <w:t>塔架形式采用锥形筒状（内设爬梯、爬升助力及防跌落保护设施）</w:t>
                  </w:r>
                  <w:r>
                    <w:rPr>
                      <w:rFonts w:hint="default" w:ascii="Times New Roman" w:hAnsi="Times New Roman" w:eastAsia="宋体" w:cs="Times New Roman"/>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68" w:type="dxa"/>
                  <w:vMerge w:val="continue"/>
                  <w:tcBorders>
                    <w:tl2br w:val="nil"/>
                    <w:tr2bl w:val="nil"/>
                  </w:tcBorders>
                  <w:noWrap w:val="0"/>
                  <w:vAlign w:val="center"/>
                </w:tcPr>
                <w:p>
                  <w:pPr>
                    <w:keepNext w:val="0"/>
                    <w:keepLines w:val="0"/>
                    <w:pageBreakBefore w:val="0"/>
                    <w:tabs>
                      <w:tab w:val="center" w:pos="290"/>
                    </w:tabs>
                    <w:kinsoku/>
                    <w:wordWrap/>
                    <w:overflowPunct/>
                    <w:topLinePunct w:val="0"/>
                    <w:bidi w:val="0"/>
                    <w:snapToGrid w:val="0"/>
                    <w:spacing w:line="240" w:lineRule="auto"/>
                    <w:ind w:left="0" w:leftChars="0" w:right="0" w:rightChars="0"/>
                    <w:contextualSpacing/>
                    <w:textAlignment w:val="auto"/>
                    <w:rPr>
                      <w:rFonts w:hint="default" w:ascii="Times New Roman" w:hAnsi="Times New Roman" w:eastAsia="宋体" w:cs="Times New Roman"/>
                      <w:b/>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color w:val="auto"/>
                      <w:sz w:val="21"/>
                      <w:szCs w:val="21"/>
                    </w:rPr>
                  </w:pPr>
                </w:p>
              </w:tc>
              <w:tc>
                <w:tcPr>
                  <w:tcW w:w="360"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61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left"/>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rPr>
                    <w:t>风电机组基础采用</w:t>
                  </w:r>
                  <w:r>
                    <w:rPr>
                      <w:rFonts w:hint="eastAsia" w:cs="Times New Roman"/>
                      <w:color w:val="auto"/>
                      <w:kern w:val="0"/>
                      <w:sz w:val="21"/>
                      <w:szCs w:val="21"/>
                      <w:lang w:val="en-US" w:eastAsia="zh-CN" w:bidi="ar"/>
                    </w:rPr>
                    <w:t>现浇钢筋混凝土桩基础，塔筒和基础采用预应力锚栓组合件连接方式</w:t>
                  </w:r>
                  <w:r>
                    <w:rPr>
                      <w:rFonts w:hint="default" w:ascii="Times New Roman" w:hAnsi="Times New Roman" w:eastAsia="宋体" w:cs="Times New Roman"/>
                      <w:color w:val="auto"/>
                      <w:kern w:val="0"/>
                      <w:sz w:val="21"/>
                      <w:szCs w:val="21"/>
                      <w:lang w:val="en-US" w:eastAsia="zh-CN" w:bidi="ar"/>
                    </w:rPr>
                    <w:t>，</w:t>
                  </w:r>
                  <w:r>
                    <w:rPr>
                      <w:rFonts w:hint="eastAsia" w:cs="Times New Roman"/>
                      <w:color w:val="auto"/>
                      <w:kern w:val="0"/>
                      <w:sz w:val="21"/>
                      <w:szCs w:val="21"/>
                      <w:highlight w:val="none"/>
                      <w:lang w:val="en-US" w:eastAsia="zh-CN" w:bidi="ar"/>
                    </w:rPr>
                    <w:t>6.67MW</w:t>
                  </w:r>
                  <w:r>
                    <w:rPr>
                      <w:rFonts w:hint="default" w:ascii="Times New Roman" w:hAnsi="Times New Roman" w:eastAsia="宋体" w:cs="Times New Roman"/>
                      <w:color w:val="auto"/>
                      <w:kern w:val="0"/>
                      <w:sz w:val="21"/>
                      <w:szCs w:val="21"/>
                      <w:lang w:val="en-US" w:eastAsia="zh-CN" w:bidi="ar"/>
                    </w:rPr>
                    <w:t>风机基础承台采用 C45 混凝土，底面直径为 22m，埋深为3.50m，台柱直径 8.40m，顶面高于周围地面 0.51m，开挖量约 2000m³，回填土 1200m³，承台 C45 混凝土量约 950m³，垫层 C20 混凝土量 40m³，钢筋量约 90t</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基础承台下设 C35 混凝土灌注桩 24 根，桩径 1.1m，桩长35m，按内外两圈布置，其中内圈直径 5.4m，外圈直径 8.5m。</w:t>
                  </w:r>
                  <w:r>
                    <w:rPr>
                      <w:rFonts w:hint="eastAsia" w:ascii="Times New Roman" w:hAnsi="Times New Roman" w:eastAsia="宋体" w:cs="Times New Roman"/>
                      <w:color w:val="auto"/>
                      <w:sz w:val="21"/>
                      <w:szCs w:val="21"/>
                      <w:lang w:val="en-US" w:eastAsia="zh-CN"/>
                    </w:rPr>
                    <w:t>风机基础</w:t>
                  </w:r>
                  <w:r>
                    <w:rPr>
                      <w:rFonts w:hint="eastAsia" w:cs="Times New Roman"/>
                      <w:color w:val="auto"/>
                      <w:sz w:val="21"/>
                      <w:szCs w:val="21"/>
                      <w:lang w:val="en-US" w:eastAsia="zh-CN"/>
                    </w:rPr>
                    <w:t>总</w:t>
                  </w:r>
                  <w:r>
                    <w:rPr>
                      <w:rFonts w:hint="eastAsia" w:ascii="Times New Roman" w:hAnsi="Times New Roman" w:eastAsia="宋体" w:cs="Times New Roman"/>
                      <w:color w:val="auto"/>
                      <w:sz w:val="21"/>
                      <w:szCs w:val="21"/>
                      <w:lang w:val="en-US" w:eastAsia="zh-CN"/>
                    </w:rPr>
                    <w:t>占地</w:t>
                  </w:r>
                  <w:r>
                    <w:rPr>
                      <w:rFonts w:hint="eastAsia" w:cs="Times New Roman"/>
                      <w:color w:val="auto"/>
                      <w:sz w:val="21"/>
                      <w:szCs w:val="21"/>
                      <w:highlight w:val="none"/>
                      <w:lang w:val="en-US" w:eastAsia="zh-CN"/>
                    </w:rPr>
                    <w:t>74850</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单个基础占地面积499m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tabs>
                      <w:tab w:val="center" w:pos="290"/>
                    </w:tabs>
                    <w:kinsoku/>
                    <w:wordWrap/>
                    <w:overflowPunct/>
                    <w:topLinePunct w:val="0"/>
                    <w:bidi w:val="0"/>
                    <w:snapToGrid w:val="0"/>
                    <w:spacing w:line="240" w:lineRule="auto"/>
                    <w:ind w:left="0" w:leftChars="0" w:right="0" w:rightChars="0"/>
                    <w:contextualSpacing/>
                    <w:textAlignment w:val="auto"/>
                    <w:rPr>
                      <w:rFonts w:hint="default" w:ascii="Times New Roman" w:hAnsi="Times New Roman" w:eastAsia="宋体" w:cs="Times New Roman"/>
                      <w:b/>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color w:val="auto"/>
                      <w:sz w:val="21"/>
                      <w:szCs w:val="21"/>
                    </w:rPr>
                  </w:pPr>
                </w:p>
              </w:tc>
              <w:tc>
                <w:tcPr>
                  <w:tcW w:w="360"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箱式变压器</w:t>
                  </w:r>
                </w:p>
              </w:tc>
              <w:tc>
                <w:tcPr>
                  <w:tcW w:w="61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w:t>
                  </w:r>
                </w:p>
              </w:tc>
              <w:tc>
                <w:tcPr>
                  <w:tcW w:w="6144"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本风电场按照一机一变设计</w:t>
                  </w:r>
                  <w:r>
                    <w:rPr>
                      <w:rFonts w:hint="eastAsia" w:cs="Times New Roman"/>
                      <w:color w:val="auto"/>
                      <w:kern w:val="0"/>
                      <w:sz w:val="21"/>
                      <w:szCs w:val="21"/>
                      <w:lang w:val="en-US" w:eastAsia="zh-CN"/>
                    </w:rPr>
                    <w:t>，变压器数量为150台，</w:t>
                  </w:r>
                  <w:r>
                    <w:rPr>
                      <w:rFonts w:hint="default" w:ascii="Times New Roman" w:hAnsi="Times New Roman" w:eastAsia="宋体" w:cs="Times New Roman"/>
                      <w:color w:val="auto"/>
                      <w:kern w:val="0"/>
                      <w:sz w:val="21"/>
                      <w:szCs w:val="21"/>
                      <w:lang w:val="en-US" w:eastAsia="zh-CN"/>
                    </w:rPr>
                    <w:t>本期风电场箱变选用华式箱变，箱变内变压器选用油浸式三相双卷自冷式升压变压器，高压侧采用35kV隔离开关+接地开关+断路器组合电器，低压侧采用智能型框架断路器</w:t>
                  </w:r>
                  <w:r>
                    <w:rPr>
                      <w:rFonts w:hint="eastAsia" w:cs="Times New Roman"/>
                      <w:color w:val="auto"/>
                      <w:kern w:val="0"/>
                      <w:sz w:val="21"/>
                      <w:szCs w:val="21"/>
                      <w:lang w:val="en-US" w:eastAsia="zh-CN"/>
                    </w:rPr>
                    <w:t>（箱式变压器高压35kV 侧均采用并联接线方式）</w:t>
                  </w:r>
                  <w:r>
                    <w:rPr>
                      <w:rFonts w:hint="default" w:ascii="Times New Roman" w:hAnsi="Times New Roman" w:eastAsia="宋体" w:cs="Times New Roman"/>
                      <w:color w:val="auto"/>
                      <w:kern w:val="0"/>
                      <w:sz w:val="21"/>
                      <w:szCs w:val="21"/>
                      <w:lang w:val="en-US" w:eastAsia="zh-CN"/>
                    </w:rPr>
                    <w:t>。变压器型号：S18-7900/35</w:t>
                  </w:r>
                  <w:r>
                    <w:rPr>
                      <w:rFonts w:hint="eastAsia"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高压侧额定电压：37kV</w:t>
                  </w:r>
                  <w:r>
                    <w:rPr>
                      <w:rFonts w:hint="eastAsia"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低压侧额定电压：1.14kV</w:t>
                  </w:r>
                  <w:r>
                    <w:rPr>
                      <w:rFonts w:hint="eastAsia" w:cs="Times New Roman"/>
                      <w:color w:val="auto"/>
                      <w:kern w:val="0"/>
                      <w:sz w:val="21"/>
                      <w:szCs w:val="21"/>
                      <w:lang w:val="en-US" w:eastAsia="zh-CN"/>
                    </w:rPr>
                    <w:t>，短路阻抗：8%，无励磁调压：37±2×2.5%kV，联接组标号：D，yn11，箱变安装位置应处于风机与最近杆位的连接线上，距风机15m左右，现场应依照实际地理环境择优选择箱变的安装位置，合理避开不适宜箱变安装的地点，箱变高压侧指向终端杆，低压侧指向风机</w:t>
                  </w:r>
                  <w:r>
                    <w:rPr>
                      <w:rFonts w:hint="eastAsia" w:ascii="Times New Roman" w:hAnsi="Times New Roman" w:eastAsia="宋体" w:cs="Times New Roman"/>
                      <w:color w:val="auto"/>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tabs>
                      <w:tab w:val="center" w:pos="290"/>
                    </w:tabs>
                    <w:kinsoku/>
                    <w:wordWrap/>
                    <w:overflowPunct/>
                    <w:topLinePunct w:val="0"/>
                    <w:bidi w:val="0"/>
                    <w:snapToGrid w:val="0"/>
                    <w:spacing w:line="240" w:lineRule="auto"/>
                    <w:ind w:left="0" w:leftChars="0" w:right="0" w:rightChars="0"/>
                    <w:contextualSpacing/>
                    <w:textAlignment w:val="auto"/>
                    <w:rPr>
                      <w:rFonts w:hint="default" w:ascii="Times New Roman" w:hAnsi="Times New Roman" w:eastAsia="宋体" w:cs="Times New Roman"/>
                      <w:b/>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color w:val="auto"/>
                      <w:sz w:val="21"/>
                      <w:szCs w:val="21"/>
                    </w:rPr>
                  </w:pPr>
                </w:p>
              </w:tc>
              <w:tc>
                <w:tcPr>
                  <w:tcW w:w="360" w:type="dxa"/>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rPr>
                  </w:pPr>
                </w:p>
              </w:tc>
              <w:tc>
                <w:tcPr>
                  <w:tcW w:w="61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spacing w:line="240" w:lineRule="auto"/>
                    <w:ind w:left="0" w:leftChars="0" w:right="0" w:right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箱式变压器基础</w:t>
                  </w:r>
                  <w:r>
                    <w:rPr>
                      <w:rFonts w:hint="default" w:ascii="Times New Roman" w:hAnsi="Times New Roman" w:eastAsia="宋体" w:cs="Times New Roman"/>
                      <w:color w:val="auto"/>
                      <w:sz w:val="21"/>
                      <w:szCs w:val="21"/>
                      <w:lang w:eastAsia="zh-CN"/>
                    </w:rPr>
                    <w:t>采用</w:t>
                  </w:r>
                  <w:r>
                    <w:rPr>
                      <w:rFonts w:hint="default" w:ascii="Times New Roman" w:hAnsi="Times New Roman" w:eastAsia="宋体" w:cs="Times New Roman"/>
                      <w:color w:val="auto"/>
                      <w:kern w:val="0"/>
                      <w:sz w:val="21"/>
                      <w:szCs w:val="21"/>
                      <w:lang w:val="en-US" w:eastAsia="zh-CN" w:bidi="ar"/>
                    </w:rPr>
                    <w:t>钢筋混凝土箱式基础</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箱变基础尺寸6.5m×4.5m×1.8m，壁厚均为250mm，基础高出场地0.30m，基础混凝土采用C30或C35，垫层采用C20</w:t>
                  </w:r>
                  <w:r>
                    <w:rPr>
                      <w:rFonts w:hint="default" w:ascii="Times New Roman" w:hAnsi="Times New Roman" w:eastAsia="宋体" w:cs="Times New Roman"/>
                      <w:color w:val="auto"/>
                      <w:sz w:val="21"/>
                      <w:szCs w:val="21"/>
                      <w:highlight w:val="none"/>
                      <w:lang w:val="en-US" w:eastAsia="zh-CN"/>
                    </w:rPr>
                    <w:t>箱变基础总占地面积为</w:t>
                  </w:r>
                  <w:r>
                    <w:rPr>
                      <w:rFonts w:hint="eastAsia" w:cs="Times New Roman"/>
                      <w:color w:val="auto"/>
                      <w:sz w:val="21"/>
                      <w:szCs w:val="21"/>
                      <w:highlight w:val="none"/>
                      <w:lang w:val="en-US" w:eastAsia="zh-CN"/>
                    </w:rPr>
                    <w:t>6000m</w:t>
                  </w:r>
                  <w:r>
                    <w:rPr>
                      <w:rFonts w:hint="eastAsia"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。单个基础占地面积</w:t>
                  </w:r>
                  <w:r>
                    <w:rPr>
                      <w:rFonts w:hint="eastAsia" w:cs="Times New Roman"/>
                      <w:color w:val="auto"/>
                      <w:sz w:val="21"/>
                      <w:szCs w:val="21"/>
                      <w:highlight w:val="none"/>
                      <w:lang w:val="en-US" w:eastAsia="zh-CN"/>
                    </w:rPr>
                    <w:t>40</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68" w:type="dxa"/>
                  <w:vMerge w:val="restart"/>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公用工程</w:t>
                  </w:r>
                </w:p>
              </w:tc>
              <w:tc>
                <w:tcPr>
                  <w:tcW w:w="1347" w:type="dxa"/>
                  <w:gridSpan w:val="3"/>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供电</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highlight w:val="none"/>
                      <w:lang w:val="en-US" w:eastAsia="zh-CN"/>
                    </w:rPr>
                    <w:t>施工用电考虑就近从升压站站用电引接，并配以一定数量的柴油发电机，确保施工用电。施工结束后作为风电场厂用电源。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rPr>
                  </w:pPr>
                </w:p>
              </w:tc>
              <w:tc>
                <w:tcPr>
                  <w:tcW w:w="1347" w:type="dxa"/>
                  <w:gridSpan w:val="3"/>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供水</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bidi="ar"/>
                    </w:rPr>
                    <w:t>本工程施工用水采用汽车拉运至各机位现场。在工程施工临建区设置生活水箱，经沉淀、净化设备净化处理后作为生活用水。另外在风机施工现场需设置移动式蓄水箱作为补充。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rPr>
                  </w:pPr>
                </w:p>
              </w:tc>
              <w:tc>
                <w:tcPr>
                  <w:tcW w:w="1347" w:type="dxa"/>
                  <w:gridSpan w:val="3"/>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供暖</w:t>
                  </w:r>
                </w:p>
              </w:tc>
              <w:tc>
                <w:tcPr>
                  <w:tcW w:w="6144" w:type="dxa"/>
                  <w:tcBorders>
                    <w:tl2br w:val="nil"/>
                    <w:tr2bl w:val="nil"/>
                  </w:tcBorders>
                  <w:noWrap w:val="0"/>
                  <w:vAlign w:val="center"/>
                </w:tcPr>
                <w:p>
                  <w:pPr>
                    <w:keepNext w:val="0"/>
                    <w:keepLines w:val="0"/>
                    <w:pageBreakBefore w:val="0"/>
                    <w:kinsoku/>
                    <w:wordWrap/>
                    <w:overflowPunct/>
                    <w:topLinePunct w:val="0"/>
                    <w:bidi w:val="0"/>
                    <w:snapToGrid w:val="0"/>
                    <w:ind w:firstLine="105" w:firstLineChars="50"/>
                    <w:contextualSpacing/>
                    <w:jc w:val="left"/>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lang w:val="en-US" w:eastAsia="zh-CN"/>
                    </w:rPr>
                    <w:t>本项目</w:t>
                  </w:r>
                  <w:r>
                    <w:rPr>
                      <w:rFonts w:hint="eastAsia" w:cs="Times New Roman"/>
                      <w:color w:val="auto"/>
                      <w:sz w:val="21"/>
                      <w:szCs w:val="21"/>
                      <w:lang w:val="en-US" w:eastAsia="zh-CN"/>
                    </w:rPr>
                    <w:t>冬季不安排施工，不供暖</w:t>
                  </w:r>
                  <w:r>
                    <w:rPr>
                      <w:rFonts w:hint="default" w:ascii="Times New Roman" w:hAnsi="Times New Roman" w:eastAsia="宋体"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668" w:type="dxa"/>
                  <w:vMerge w:val="restart"/>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eastAsia" w:ascii="Times New Roman" w:hAnsi="Times New Roman" w:eastAsia="宋体" w:cs="Times New Roman"/>
                      <w:b/>
                      <w:color w:val="auto"/>
                      <w:sz w:val="21"/>
                      <w:szCs w:val="21"/>
                      <w:lang w:eastAsia="zh-CN"/>
                    </w:rPr>
                  </w:pPr>
                  <w:r>
                    <w:rPr>
                      <w:rFonts w:hint="eastAsia" w:cs="Times New Roman"/>
                      <w:b/>
                      <w:color w:val="auto"/>
                      <w:sz w:val="21"/>
                      <w:szCs w:val="21"/>
                      <w:lang w:eastAsia="zh-CN"/>
                    </w:rPr>
                    <w:t>辅助工程</w:t>
                  </w:r>
                </w:p>
              </w:tc>
              <w:tc>
                <w:tcPr>
                  <w:tcW w:w="1347" w:type="dxa"/>
                  <w:gridSpan w:val="3"/>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施工道路</w:t>
                  </w:r>
                </w:p>
                <w:p>
                  <w:pPr>
                    <w:keepNext w:val="0"/>
                    <w:keepLines w:val="0"/>
                    <w:pageBreakBefore w:val="0"/>
                    <w:widowControl/>
                    <w:suppressLineNumbers w:val="0"/>
                    <w:kinsoku/>
                    <w:wordWrap/>
                    <w:topLinePunct w:val="0"/>
                    <w:autoSpaceDE/>
                    <w:autoSpaceDN/>
                    <w:bidi w:val="0"/>
                    <w:spacing w:line="240" w:lineRule="auto"/>
                    <w:jc w:val="left"/>
                    <w:textAlignment w:val="auto"/>
                    <w:rPr>
                      <w:rFonts w:hint="default" w:ascii="Times New Roman" w:hAnsi="Times New Roman" w:eastAsia="宋体" w:cs="Times New Roman"/>
                      <w:color w:val="auto"/>
                      <w:sz w:val="21"/>
                      <w:szCs w:val="21"/>
                      <w:lang w:val="en-US" w:eastAsia="zh-CN"/>
                    </w:rPr>
                  </w:pPr>
                </w:p>
              </w:tc>
              <w:tc>
                <w:tcPr>
                  <w:tcW w:w="6144" w:type="dxa"/>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本项目在利用现有道路的情况下，新建道路长度236km</w:t>
                  </w:r>
                  <w:r>
                    <w:rPr>
                      <w:rFonts w:hint="eastAsia" w:cs="Times New Roman"/>
                      <w:b w:val="0"/>
                      <w:bCs w:val="0"/>
                      <w:color w:val="auto"/>
                      <w:sz w:val="21"/>
                      <w:szCs w:val="21"/>
                      <w:highlight w:val="none"/>
                      <w:lang w:val="en-US" w:eastAsia="zh-CN"/>
                    </w:rPr>
                    <w:t>（路面宽度 6m，路基宽度 7m，采用300mm厚砂夹石路面，压实度不低于95%）</w:t>
                  </w:r>
                  <w:r>
                    <w:rPr>
                      <w:rFonts w:hint="default" w:ascii="Times New Roman" w:hAnsi="Times New Roman" w:eastAsia="宋体" w:cs="Times New Roman"/>
                      <w:b w:val="0"/>
                      <w:bCs w:val="0"/>
                      <w:color w:val="auto"/>
                      <w:sz w:val="21"/>
                      <w:szCs w:val="21"/>
                      <w:highlight w:val="none"/>
                      <w:lang w:val="en-US" w:eastAsia="zh-CN"/>
                    </w:rPr>
                    <w:t>，改建道路110km</w:t>
                  </w:r>
                  <w:r>
                    <w:rPr>
                      <w:rFonts w:hint="eastAsia" w:cs="Times New Roman"/>
                      <w:b w:val="0"/>
                      <w:bCs w:val="0"/>
                      <w:color w:val="auto"/>
                      <w:sz w:val="21"/>
                      <w:szCs w:val="21"/>
                      <w:highlight w:val="none"/>
                      <w:lang w:val="en-US" w:eastAsia="zh-CN"/>
                    </w:rPr>
                    <w:t>（路面宽度 5m，路基宽度 6m，村道水泥路采用修补方式，乡道土路采用300mm厚砂夹石路面，压实度不低于95%）</w:t>
                  </w:r>
                  <w:r>
                    <w:rPr>
                      <w:rFonts w:hint="default" w:ascii="Times New Roman" w:hAnsi="Times New Roman" w:eastAsia="宋体" w:cs="Times New Roman"/>
                      <w:b w:val="0"/>
                      <w:bCs w:val="0"/>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eastAsia" w:cs="Times New Roman"/>
                      <w:b/>
                      <w:color w:val="auto"/>
                      <w:sz w:val="21"/>
                      <w:szCs w:val="21"/>
                      <w:lang w:eastAsia="zh-CN"/>
                    </w:rPr>
                  </w:pPr>
                </w:p>
              </w:tc>
              <w:tc>
                <w:tcPr>
                  <w:tcW w:w="1347" w:type="dxa"/>
                  <w:gridSpan w:val="3"/>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highlight w:val="none"/>
                      <w:lang w:eastAsia="zh-CN"/>
                    </w:rPr>
                    <w:t>检修道路</w:t>
                  </w:r>
                </w:p>
              </w:tc>
              <w:tc>
                <w:tcPr>
                  <w:tcW w:w="6144" w:type="dxa"/>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施工期结束后，在施工道路的基础上留设4m宽作为检修道路，其余路面恢复为原地貌。检修道路总长</w:t>
                  </w:r>
                  <w:r>
                    <w:rPr>
                      <w:rFonts w:hint="eastAsia" w:cs="Times New Roman"/>
                      <w:b w:val="0"/>
                      <w:bCs w:val="0"/>
                      <w:color w:val="auto"/>
                      <w:sz w:val="21"/>
                      <w:szCs w:val="21"/>
                      <w:highlight w:val="none"/>
                      <w:lang w:val="en-US" w:eastAsia="zh-CN"/>
                    </w:rPr>
                    <w:t>200.51</w:t>
                  </w:r>
                  <w:r>
                    <w:rPr>
                      <w:rFonts w:hint="default" w:ascii="Times New Roman" w:hAnsi="Times New Roman" w:eastAsia="宋体" w:cs="Times New Roman"/>
                      <w:b w:val="0"/>
                      <w:bCs w:val="0"/>
                      <w:color w:val="auto"/>
                      <w:sz w:val="21"/>
                      <w:szCs w:val="21"/>
                      <w:highlight w:val="none"/>
                      <w:lang w:val="en-US" w:eastAsia="zh-CN"/>
                    </w:rPr>
                    <w:t>km，其中新建道路</w:t>
                  </w:r>
                  <w:r>
                    <w:rPr>
                      <w:rFonts w:hint="eastAsia" w:cs="Times New Roman"/>
                      <w:b w:val="0"/>
                      <w:bCs w:val="0"/>
                      <w:color w:val="auto"/>
                      <w:sz w:val="21"/>
                      <w:szCs w:val="21"/>
                      <w:highlight w:val="none"/>
                      <w:lang w:val="en-US" w:eastAsia="zh-CN"/>
                    </w:rPr>
                    <w:t>120.51</w:t>
                  </w:r>
                  <w:r>
                    <w:rPr>
                      <w:rFonts w:hint="default" w:ascii="Times New Roman" w:hAnsi="Times New Roman" w:eastAsia="宋体" w:cs="Times New Roman"/>
                      <w:b w:val="0"/>
                      <w:bCs w:val="0"/>
                      <w:color w:val="auto"/>
                      <w:sz w:val="21"/>
                      <w:szCs w:val="21"/>
                      <w:highlight w:val="none"/>
                      <w:lang w:val="en-US" w:eastAsia="zh-CN"/>
                    </w:rPr>
                    <w:t>km，改建道路</w:t>
                  </w:r>
                  <w:r>
                    <w:rPr>
                      <w:rFonts w:hint="eastAsia" w:cs="Times New Roman"/>
                      <w:b w:val="0"/>
                      <w:bCs w:val="0"/>
                      <w:color w:val="auto"/>
                      <w:sz w:val="21"/>
                      <w:szCs w:val="21"/>
                      <w:highlight w:val="none"/>
                      <w:lang w:val="en-US" w:eastAsia="zh-CN"/>
                    </w:rPr>
                    <w:t>80</w:t>
                  </w:r>
                  <w:r>
                    <w:rPr>
                      <w:rFonts w:hint="default" w:ascii="Times New Roman" w:hAnsi="Times New Roman" w:eastAsia="宋体" w:cs="Times New Roman"/>
                      <w:b w:val="0"/>
                      <w:bCs w:val="0"/>
                      <w:color w:val="auto"/>
                      <w:sz w:val="21"/>
                      <w:szCs w:val="21"/>
                      <w:highlight w:val="none"/>
                      <w:lang w:val="en-US" w:eastAsia="zh-CN"/>
                    </w:rPr>
                    <w:t>km，设计宽度为5.0m，路面宽度4.0m。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restart"/>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环保工程</w:t>
                  </w:r>
                </w:p>
              </w:tc>
              <w:tc>
                <w:tcPr>
                  <w:tcW w:w="372" w:type="dxa"/>
                  <w:vMerge w:val="restart"/>
                  <w:tcBorders>
                    <w:tl2br w:val="nil"/>
                    <w:tr2bl w:val="nil"/>
                  </w:tcBorders>
                  <w:noWrap w:val="0"/>
                  <w:vAlign w:val="center"/>
                </w:tcPr>
                <w:p>
                  <w:pPr>
                    <w:keepNext w:val="0"/>
                    <w:keepLines w:val="0"/>
                    <w:pageBreakBefore w:val="0"/>
                    <w:kinsoku/>
                    <w:wordWrap/>
                    <w:overflowPunct/>
                    <w:topLinePunct w:val="0"/>
                    <w:bidi w:val="0"/>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施工期</w:t>
                  </w:r>
                </w:p>
              </w:tc>
              <w:tc>
                <w:tcPr>
                  <w:tcW w:w="975" w:type="dxa"/>
                  <w:gridSpan w:val="2"/>
                  <w:tcBorders>
                    <w:tl2br w:val="nil"/>
                    <w:tr2bl w:val="nil"/>
                  </w:tcBorders>
                  <w:noWrap w:val="0"/>
                  <w:vAlign w:val="center"/>
                </w:tcPr>
                <w:p>
                  <w:pPr>
                    <w:keepNext w:val="0"/>
                    <w:keepLines w:val="0"/>
                    <w:pageBreakBefore w:val="0"/>
                    <w:kinsoku/>
                    <w:wordWrap/>
                    <w:overflowPunct/>
                    <w:topLinePunct w:val="0"/>
                    <w:autoSpaceDE w:val="0"/>
                    <w:autoSpaceDN w:val="0"/>
                    <w:bidi w:val="0"/>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废水处理措施</w:t>
                  </w:r>
                </w:p>
              </w:tc>
              <w:tc>
                <w:tcPr>
                  <w:tcW w:w="6144" w:type="dxa"/>
                  <w:tcBorders>
                    <w:tl2br w:val="nil"/>
                    <w:tr2bl w:val="nil"/>
                  </w:tcBorders>
                  <w:noWrap w:val="0"/>
                  <w:vAlign w:val="center"/>
                </w:tcPr>
                <w:p>
                  <w:pPr>
                    <w:keepNext w:val="0"/>
                    <w:keepLines w:val="0"/>
                    <w:pageBreakBefore w:val="0"/>
                    <w:kinsoku/>
                    <w:wordWrap/>
                    <w:overflowPunct/>
                    <w:topLinePunct w:val="0"/>
                    <w:bidi w:val="0"/>
                    <w:snapToGrid w:val="0"/>
                    <w:ind w:firstLine="105" w:firstLineChars="50"/>
                    <w:contextualSpacing/>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施工机械冲洗废水</w:t>
                  </w:r>
                  <w:r>
                    <w:rPr>
                      <w:rFonts w:hint="default" w:ascii="Times New Roman" w:hAnsi="Times New Roman" w:eastAsia="宋体" w:cs="Times New Roman"/>
                      <w:color w:val="auto"/>
                      <w:sz w:val="21"/>
                      <w:szCs w:val="21"/>
                      <w:lang w:eastAsia="zh-CN"/>
                    </w:rPr>
                    <w:t>经沉淀池处理后用于场地洒水抑尘不外排</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施工人员</w:t>
                  </w:r>
                  <w:r>
                    <w:rPr>
                      <w:rFonts w:hint="default" w:ascii="Times New Roman" w:hAnsi="Times New Roman" w:eastAsia="宋体" w:cs="Times New Roman"/>
                      <w:color w:val="auto"/>
                      <w:sz w:val="21"/>
                      <w:szCs w:val="21"/>
                      <w:lang w:eastAsia="zh-CN"/>
                    </w:rPr>
                    <w:t>生活</w:t>
                  </w:r>
                  <w:r>
                    <w:rPr>
                      <w:rFonts w:hint="default" w:ascii="Times New Roman" w:hAnsi="Times New Roman" w:eastAsia="宋体" w:cs="Times New Roman"/>
                      <w:color w:val="auto"/>
                      <w:sz w:val="21"/>
                      <w:szCs w:val="21"/>
                      <w:lang w:val="en-US" w:eastAsia="zh-CN"/>
                    </w:rPr>
                    <w:t>污水</w:t>
                  </w:r>
                  <w:r>
                    <w:rPr>
                      <w:rFonts w:hint="eastAsia" w:ascii="Times New Roman" w:hAnsi="Times New Roman" w:eastAsia="宋体" w:cs="Times New Roman"/>
                      <w:color w:val="auto"/>
                      <w:sz w:val="21"/>
                      <w:szCs w:val="21"/>
                      <w:lang w:val="en-US" w:eastAsia="zh-CN"/>
                    </w:rPr>
                    <w:t>用于周边场地洒水抑尘，施工区设置旱厕</w:t>
                  </w:r>
                  <w:r>
                    <w:rPr>
                      <w:rFonts w:hint="eastAsia" w:cs="Times New Roman"/>
                      <w:color w:val="auto"/>
                      <w:sz w:val="21"/>
                      <w:szCs w:val="21"/>
                      <w:lang w:val="en-US" w:eastAsia="zh-CN"/>
                    </w:rPr>
                    <w:t>，定期清掏用于农家肥</w:t>
                  </w:r>
                  <w:r>
                    <w:rPr>
                      <w:rFonts w:hint="default" w:ascii="Times New Roman" w:hAnsi="Times New Roman" w:eastAsia="宋体"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snapToGrid w:val="0"/>
                    <w:contextualSpacing/>
                    <w:jc w:val="center"/>
                    <w:textAlignment w:val="auto"/>
                    <w:rPr>
                      <w:rFonts w:hint="default" w:ascii="Times New Roman" w:hAnsi="Times New Roman" w:eastAsia="宋体" w:cs="Times New Roman"/>
                      <w:color w:val="auto"/>
                      <w:sz w:val="21"/>
                      <w:szCs w:val="21"/>
                      <w:lang w:val="en-US" w:eastAsia="zh-CN"/>
                    </w:rPr>
                  </w:pPr>
                </w:p>
              </w:tc>
              <w:tc>
                <w:tcPr>
                  <w:tcW w:w="975" w:type="dxa"/>
                  <w:gridSpan w:val="2"/>
                  <w:tcBorders>
                    <w:tl2br w:val="nil"/>
                    <w:tr2bl w:val="nil"/>
                  </w:tcBorders>
                  <w:noWrap w:val="0"/>
                  <w:vAlign w:val="center"/>
                </w:tcPr>
                <w:p>
                  <w:pPr>
                    <w:keepNext w:val="0"/>
                    <w:keepLines w:val="0"/>
                    <w:pageBreakBefore w:val="0"/>
                    <w:kinsoku/>
                    <w:wordWrap/>
                    <w:overflowPunct/>
                    <w:topLinePunct w:val="0"/>
                    <w:bidi w:val="0"/>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废气治理措施</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施工废气主要包括施工扬尘及机械排放废气。现场施工时，严格落实工地“六个百分百”。施工现场集中堆放的开挖土方进行覆盖，对易引起扬尘的物料采用绿色遮阳网、密目网进行全部覆盖；适时洒水降尘，对不能及时清运的土方采取覆盖等措施；进厂道路原土夯实，适时进行洒水，出入运输车辆车体和车轮及时冲洗，采用密闭车斗，严禁沿路遗漏或抛撒；遇到四级或四级以上大风天气，应停止土方作业，同时作业处覆以防尘网；施工机械及运输车辆排放尾气符合《非道路移动机械用柴油机排气污染物排放限值及测量方法》（中国第三、四阶段）》(GB20891-2014)（环办标征函〔2020〕48 号）中相关限值要求。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snapToGrid w:val="0"/>
                    <w:contextualSpacing/>
                    <w:jc w:val="center"/>
                    <w:textAlignment w:val="auto"/>
                    <w:rPr>
                      <w:rFonts w:hint="default" w:ascii="Times New Roman" w:hAnsi="Times New Roman" w:eastAsia="宋体" w:cs="Times New Roman"/>
                      <w:color w:val="auto"/>
                      <w:sz w:val="21"/>
                      <w:szCs w:val="21"/>
                      <w:lang w:val="en-US" w:eastAsia="zh-CN"/>
                    </w:rPr>
                  </w:pPr>
                </w:p>
              </w:tc>
              <w:tc>
                <w:tcPr>
                  <w:tcW w:w="975" w:type="dxa"/>
                  <w:gridSpan w:val="2"/>
                  <w:tcBorders>
                    <w:tl2br w:val="nil"/>
                    <w:tr2bl w:val="nil"/>
                  </w:tcBorders>
                  <w:noWrap w:val="0"/>
                  <w:vAlign w:val="center"/>
                </w:tcPr>
                <w:p>
                  <w:pPr>
                    <w:keepNext w:val="0"/>
                    <w:keepLines w:val="0"/>
                    <w:pageBreakBefore w:val="0"/>
                    <w:kinsoku/>
                    <w:wordWrap/>
                    <w:overflowPunct/>
                    <w:topLinePunct w:val="0"/>
                    <w:bidi w:val="0"/>
                    <w:snapToGrid w:val="0"/>
                    <w:contextualSpacing/>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p>
                  <w:pPr>
                    <w:keepNext w:val="0"/>
                    <w:keepLines w:val="0"/>
                    <w:pageBreakBefore w:val="0"/>
                    <w:kinsoku/>
                    <w:wordWrap/>
                    <w:overflowPunct/>
                    <w:topLinePunct w:val="0"/>
                    <w:bidi w:val="0"/>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措施</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施工期的噪声源主要为施工机械设备作业产生的噪声，通过采取合理安排施工时间、严格夜间作业、合理规划施工场地；消声降噪措施；经常进行检查和维修等措施。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snapToGrid w:val="0"/>
                    <w:spacing w:line="240" w:lineRule="auto"/>
                    <w:ind w:left="0" w:leftChars="0" w:right="0" w:rightChars="0"/>
                    <w:contextualSpacing/>
                    <w:jc w:val="center"/>
                    <w:textAlignment w:val="auto"/>
                    <w:rPr>
                      <w:rFonts w:hint="default" w:ascii="Times New Roman" w:hAnsi="Times New Roman" w:eastAsia="宋体" w:cs="Times New Roman"/>
                      <w:b/>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snapToGrid w:val="0"/>
                    <w:contextualSpacing/>
                    <w:jc w:val="center"/>
                    <w:textAlignment w:val="auto"/>
                    <w:rPr>
                      <w:rFonts w:hint="default" w:ascii="Times New Roman" w:hAnsi="Times New Roman" w:eastAsia="宋体" w:cs="Times New Roman"/>
                      <w:color w:val="auto"/>
                      <w:sz w:val="21"/>
                      <w:szCs w:val="21"/>
                      <w:lang w:val="en-US" w:eastAsia="zh-CN"/>
                    </w:rPr>
                  </w:pPr>
                </w:p>
              </w:tc>
              <w:tc>
                <w:tcPr>
                  <w:tcW w:w="975" w:type="dxa"/>
                  <w:gridSpan w:val="2"/>
                  <w:tcBorders>
                    <w:tl2br w:val="nil"/>
                    <w:tr2bl w:val="nil"/>
                  </w:tcBorders>
                  <w:noWrap w:val="0"/>
                  <w:vAlign w:val="center"/>
                </w:tcPr>
                <w:p>
                  <w:pPr>
                    <w:keepNext w:val="0"/>
                    <w:keepLines w:val="0"/>
                    <w:pageBreakBefore w:val="0"/>
                    <w:kinsoku/>
                    <w:wordWrap/>
                    <w:overflowPunct/>
                    <w:topLinePunct w:val="0"/>
                    <w:bidi w:val="0"/>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固体废物防治</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jc w:val="left"/>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施工期固体弃物主要是生活垃圾、建筑垃圾。生活垃圾收集后定期送至市政部门规定地点拉运处置</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建筑垃圾回用于场内检修道路的修筑，不能回用的，送指定的垃圾填埋场处置</w:t>
                  </w:r>
                  <w:r>
                    <w:rPr>
                      <w:rFonts w:hint="eastAsia" w:ascii="Times New Roman" w:hAnsi="Times New Roman" w:eastAsia="宋体"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textAlignment w:val="auto"/>
                    <w:rPr>
                      <w:rFonts w:hint="default" w:ascii="Times New Roman" w:hAnsi="Times New Roman" w:eastAsia="宋体" w:cs="Times New Roman"/>
                      <w:color w:val="auto"/>
                      <w:sz w:val="21"/>
                      <w:szCs w:val="21"/>
                    </w:rPr>
                  </w:pPr>
                </w:p>
              </w:tc>
              <w:tc>
                <w:tcPr>
                  <w:tcW w:w="372" w:type="dxa"/>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rPr>
                  </w:pPr>
                </w:p>
              </w:tc>
              <w:tc>
                <w:tcPr>
                  <w:tcW w:w="975" w:type="dxa"/>
                  <w:gridSpan w:val="2"/>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val="0"/>
                    <w:contextualSpacing/>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生态恢复措施</w:t>
                  </w:r>
                </w:p>
              </w:tc>
              <w:tc>
                <w:tcPr>
                  <w:tcW w:w="6144" w:type="dxa"/>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项目施工期涉及到占地、土石方开挖、回填、临时堆土等要改变土地利用现状的人为活动，造成植被破坏、植被覆盖面积减少、水土流失等。施工期主要采取分层开挖，表土层堆存区采取遮盖等措施；临时占地内破坏植被及时恢复，施工道路应及时进行恢复工作，根据占地性质实行不同的植被恢复措施</w:t>
                  </w:r>
                  <w:r>
                    <w:rPr>
                      <w:rFonts w:hint="eastAsia" w:ascii="Times New Roman" w:hAnsi="Times New Roman" w:eastAsia="宋体" w:cs="Times New Roman"/>
                      <w:color w:val="auto"/>
                      <w:sz w:val="21"/>
                      <w:szCs w:val="21"/>
                      <w:lang w:val="en-US" w:eastAsia="zh-CN"/>
                    </w:rPr>
                    <w:t>，需与原有地貌和景观协调</w:t>
                  </w:r>
                  <w:r>
                    <w:rPr>
                      <w:rFonts w:hint="default" w:ascii="Times New Roman" w:hAnsi="Times New Roman" w:eastAsia="宋体" w:cs="Times New Roman"/>
                      <w:color w:val="auto"/>
                      <w:sz w:val="21"/>
                      <w:szCs w:val="21"/>
                      <w:lang w:val="en-US" w:eastAsia="zh-CN"/>
                    </w:rPr>
                    <w:t>。严格控制施工用地范围，严禁在施工用地范围以外的区域活动，尽量减少对表土及植被的扰动。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restart"/>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lang w:val="en-US" w:eastAsia="zh-CN"/>
                    </w:rPr>
                    <w:t>环保工程</w:t>
                  </w:r>
                </w:p>
              </w:tc>
              <w:tc>
                <w:tcPr>
                  <w:tcW w:w="372" w:type="dxa"/>
                  <w:vMerge w:val="restart"/>
                  <w:tcBorders>
                    <w:tl2br w:val="nil"/>
                    <w:tr2bl w:val="nil"/>
                  </w:tcBorders>
                  <w:noWrap w:val="0"/>
                  <w:vAlign w:val="center"/>
                </w:tcPr>
                <w:p>
                  <w:pPr>
                    <w:keepNext w:val="0"/>
                    <w:keepLines w:val="0"/>
                    <w:pageBreakBefore w:val="0"/>
                    <w:kinsoku/>
                    <w:wordWrap/>
                    <w:overflowPunct/>
                    <w:topLinePunct w:val="0"/>
                    <w:bidi w:val="0"/>
                    <w:adjustRightInd/>
                    <w:snapToGrid w:val="0"/>
                    <w:contextualSpacing/>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运营期</w:t>
                  </w:r>
                </w:p>
              </w:tc>
              <w:tc>
                <w:tcPr>
                  <w:tcW w:w="975" w:type="dxa"/>
                  <w:gridSpan w:val="2"/>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噪声处理措施</w:t>
                  </w:r>
                </w:p>
              </w:tc>
              <w:tc>
                <w:tcPr>
                  <w:tcW w:w="6144" w:type="dxa"/>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采用低噪声设备，风电机选用隔音防振型，变速齿轮箱为减噪型， </w:t>
                  </w:r>
                </w:p>
                <w:p>
                  <w:pPr>
                    <w:keepNext w:val="0"/>
                    <w:keepLines w:val="0"/>
                    <w:pageBreakBefore w:val="0"/>
                    <w:kinsoku/>
                    <w:wordWrap/>
                    <w:overflowPunct/>
                    <w:topLinePunct w:val="0"/>
                    <w:bidi w:val="0"/>
                    <w:adjustRightInd/>
                    <w:snapToGrid w:val="0"/>
                    <w:contextualSpacing/>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叶片选用减速叶片等</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并进行设备维护使其处于良好的运行状态。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textAlignment w:val="auto"/>
                    <w:rPr>
                      <w:rFonts w:hint="default" w:ascii="Times New Roman" w:hAnsi="Times New Roman" w:eastAsia="宋体" w:cs="Times New Roman"/>
                      <w:color w:val="auto"/>
                      <w:sz w:val="21"/>
                      <w:szCs w:val="21"/>
                    </w:rPr>
                  </w:pPr>
                </w:p>
              </w:tc>
              <w:tc>
                <w:tcPr>
                  <w:tcW w:w="975" w:type="dxa"/>
                  <w:gridSpan w:val="2"/>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废水处理措施</w:t>
                  </w:r>
                </w:p>
              </w:tc>
              <w:tc>
                <w:tcPr>
                  <w:tcW w:w="6144" w:type="dxa"/>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本风电场运营期无人值守，故运营期无生活污水及生产废水产生</w:t>
                  </w:r>
                  <w:r>
                    <w:rPr>
                      <w:rFonts w:hint="default" w:ascii="Times New Roman" w:hAnsi="Times New Roman" w:eastAsia="宋体"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textAlignment w:val="auto"/>
                    <w:rPr>
                      <w:rFonts w:hint="default" w:ascii="Times New Roman" w:hAnsi="Times New Roman" w:eastAsia="宋体" w:cs="Times New Roman"/>
                      <w:color w:val="auto"/>
                      <w:sz w:val="21"/>
                      <w:szCs w:val="21"/>
                    </w:rPr>
                  </w:pPr>
                </w:p>
              </w:tc>
              <w:tc>
                <w:tcPr>
                  <w:tcW w:w="975" w:type="dxa"/>
                  <w:gridSpan w:val="2"/>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固体废物</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jc w:val="lef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lang w:val="en-US" w:eastAsia="zh-CN"/>
                    </w:rPr>
                    <w:t>风电场</w:t>
                  </w:r>
                  <w:r>
                    <w:rPr>
                      <w:rFonts w:hint="eastAsia" w:ascii="Times New Roman" w:hAnsi="Times New Roman" w:eastAsia="宋体" w:cs="Times New Roman"/>
                      <w:color w:val="auto"/>
                      <w:sz w:val="21"/>
                      <w:szCs w:val="21"/>
                      <w:highlight w:val="none"/>
                      <w:lang w:val="en-US" w:eastAsia="zh-CN"/>
                    </w:rPr>
                    <w:t>运营期</w:t>
                  </w:r>
                  <w:r>
                    <w:rPr>
                      <w:rFonts w:hint="default" w:ascii="Times New Roman" w:hAnsi="Times New Roman" w:eastAsia="宋体" w:cs="Times New Roman"/>
                      <w:color w:val="auto"/>
                      <w:sz w:val="21"/>
                      <w:szCs w:val="21"/>
                      <w:highlight w:val="none"/>
                      <w:lang w:val="en-US" w:eastAsia="zh-CN"/>
                    </w:rPr>
                    <w:t>无人值守，无生活垃圾产生；运行期</w:t>
                  </w:r>
                  <w:r>
                    <w:rPr>
                      <w:rFonts w:hint="eastAsia" w:ascii="Times New Roman" w:hAnsi="Times New Roman" w:eastAsia="宋体" w:cs="Times New Roman"/>
                      <w:color w:val="auto"/>
                      <w:sz w:val="21"/>
                      <w:szCs w:val="21"/>
                      <w:highlight w:val="none"/>
                      <w:lang w:val="en-US" w:eastAsia="zh-CN"/>
                    </w:rPr>
                    <w:t>设备</w:t>
                  </w:r>
                  <w:r>
                    <w:rPr>
                      <w:rFonts w:hint="default" w:ascii="Times New Roman" w:hAnsi="Times New Roman" w:eastAsia="宋体" w:cs="Times New Roman"/>
                      <w:color w:val="auto"/>
                      <w:sz w:val="21"/>
                      <w:szCs w:val="21"/>
                      <w:highlight w:val="none"/>
                      <w:lang w:val="en-US" w:eastAsia="zh-CN"/>
                    </w:rPr>
                    <w:t>检修产生的废润滑油集中收集后，</w:t>
                  </w:r>
                  <w:r>
                    <w:rPr>
                      <w:rFonts w:hint="eastAsia" w:cs="Times New Roman"/>
                      <w:color w:val="auto"/>
                      <w:sz w:val="21"/>
                      <w:szCs w:val="21"/>
                      <w:highlight w:val="none"/>
                      <w:lang w:val="en-US" w:eastAsia="zh-CN"/>
                    </w:rPr>
                    <w:t>直接</w:t>
                  </w:r>
                  <w:r>
                    <w:rPr>
                      <w:rFonts w:hint="default" w:ascii="Times New Roman" w:hAnsi="Times New Roman" w:eastAsia="宋体" w:cs="Times New Roman"/>
                      <w:color w:val="auto"/>
                      <w:sz w:val="21"/>
                      <w:szCs w:val="21"/>
                      <w:highlight w:val="none"/>
                      <w:lang w:val="en-US" w:eastAsia="zh-CN"/>
                    </w:rPr>
                    <w:t>交由有资质单位处置。箱变基础在油箱下部设事故储油池，共计1</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0个，事故废油经事故储油池收集后，</w:t>
                  </w:r>
                  <w:r>
                    <w:rPr>
                      <w:rFonts w:hint="eastAsia" w:cs="Times New Roman"/>
                      <w:color w:val="auto"/>
                      <w:sz w:val="21"/>
                      <w:szCs w:val="21"/>
                      <w:highlight w:val="none"/>
                      <w:lang w:val="en-US" w:eastAsia="zh-CN"/>
                    </w:rPr>
                    <w:t>直接</w:t>
                  </w:r>
                  <w:r>
                    <w:rPr>
                      <w:rFonts w:hint="default" w:ascii="Times New Roman" w:hAnsi="Times New Roman" w:eastAsia="宋体" w:cs="Times New Roman"/>
                      <w:color w:val="auto"/>
                      <w:sz w:val="21"/>
                      <w:szCs w:val="21"/>
                      <w:highlight w:val="none"/>
                      <w:lang w:val="en-US" w:eastAsia="zh-CN"/>
                    </w:rPr>
                    <w:t>期交由资质单位处置</w:t>
                  </w:r>
                  <w:r>
                    <w:rPr>
                      <w:rFonts w:hint="eastAsia"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textAlignment w:val="auto"/>
                    <w:rPr>
                      <w:rFonts w:hint="default" w:ascii="Times New Roman" w:hAnsi="Times New Roman" w:eastAsia="宋体" w:cs="Times New Roman"/>
                      <w:color w:val="auto"/>
                      <w:sz w:val="21"/>
                      <w:szCs w:val="21"/>
                    </w:rPr>
                  </w:pPr>
                </w:p>
              </w:tc>
              <w:tc>
                <w:tcPr>
                  <w:tcW w:w="975" w:type="dxa"/>
                  <w:gridSpan w:val="2"/>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生态</w:t>
                  </w:r>
                  <w:r>
                    <w:rPr>
                      <w:rFonts w:hint="default" w:ascii="Times New Roman" w:hAnsi="Times New Roman" w:eastAsia="宋体" w:cs="Times New Roman"/>
                      <w:color w:val="auto"/>
                      <w:sz w:val="21"/>
                      <w:szCs w:val="21"/>
                      <w:lang w:val="en-US" w:eastAsia="zh-CN"/>
                    </w:rPr>
                    <w:t>处理措施</w:t>
                  </w:r>
                </w:p>
              </w:tc>
              <w:tc>
                <w:tcPr>
                  <w:tcW w:w="6144" w:type="dxa"/>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保护风电场周边林地、草丛等植被，保护动物的生存环境。对永久</w:t>
                  </w:r>
                  <w:r>
                    <w:rPr>
                      <w:rFonts w:hint="eastAsia" w:cs="Times New Roman"/>
                      <w:color w:val="auto"/>
                      <w:sz w:val="21"/>
                      <w:szCs w:val="21"/>
                      <w:lang w:val="en-US" w:eastAsia="zh-CN"/>
                    </w:rPr>
                    <w:t>占</w:t>
                  </w:r>
                  <w:r>
                    <w:rPr>
                      <w:rFonts w:hint="default" w:ascii="Times New Roman" w:hAnsi="Times New Roman" w:eastAsia="宋体" w:cs="Times New Roman"/>
                      <w:color w:val="auto"/>
                      <w:sz w:val="21"/>
                      <w:szCs w:val="21"/>
                      <w:lang w:val="en-US" w:eastAsia="zh-CN"/>
                    </w:rPr>
                    <w:t>地以异地种植植被的方式进行生态补偿，建议就近或在场内植树和种草，合理绿化，增加场地及周边林地绿化覆盖率。运营期定期对风机进行巡检时必须严格按照检修划定路线巡检，不得随意行驶破坏风电场内植被。开展宣传教育，安装警示牌，对伤鸟、野生动物救助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textAlignment w:val="auto"/>
                    <w:rPr>
                      <w:rFonts w:hint="default" w:ascii="Times New Roman" w:hAnsi="Times New Roman" w:eastAsia="宋体" w:cs="Times New Roman"/>
                      <w:color w:val="auto"/>
                      <w:sz w:val="21"/>
                      <w:szCs w:val="21"/>
                    </w:rPr>
                  </w:pPr>
                </w:p>
              </w:tc>
              <w:tc>
                <w:tcPr>
                  <w:tcW w:w="975" w:type="dxa"/>
                  <w:gridSpan w:val="2"/>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防沙治沙措施</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施工结束后，临时占地进行复垦和恢复，恢复表土并进行植被恢复。物种选择当地适生草灌，运行期加强管护直至稳定成活。植被恢复及后期管护均由建设单位完成。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textAlignment w:val="auto"/>
                    <w:rPr>
                      <w:rFonts w:hint="default" w:ascii="Times New Roman" w:hAnsi="Times New Roman" w:eastAsia="宋体" w:cs="Times New Roman"/>
                      <w:color w:val="auto"/>
                      <w:sz w:val="21"/>
                      <w:szCs w:val="21"/>
                    </w:rPr>
                  </w:pPr>
                </w:p>
              </w:tc>
              <w:tc>
                <w:tcPr>
                  <w:tcW w:w="975" w:type="dxa"/>
                  <w:gridSpan w:val="2"/>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环境风险措施</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箱变事故油池：为保证箱式变压器一旦发生事故时，变压器油不流到场外污染环境，同时又能回收变压器油，根据设计规程要求在每台箱变配套设置1</w:t>
                  </w:r>
                  <w:r>
                    <w:rPr>
                      <w:rFonts w:hint="default" w:ascii="Times New Roman" w:hAnsi="Times New Roman" w:eastAsia="宋体" w:cs="Times New Roman"/>
                      <w:color w:val="auto"/>
                      <w:sz w:val="21"/>
                      <w:szCs w:val="21"/>
                      <w:highlight w:val="none"/>
                      <w:lang w:val="en-US" w:eastAsia="zh-CN"/>
                    </w:rPr>
                    <w:t>座</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m³的事故油池</w:t>
                  </w:r>
                  <w:r>
                    <w:rPr>
                      <w:rFonts w:hint="default" w:ascii="Times New Roman" w:hAnsi="Times New Roman" w:eastAsia="宋体" w:cs="Times New Roman"/>
                      <w:color w:val="auto"/>
                      <w:sz w:val="21"/>
                      <w:szCs w:val="21"/>
                      <w:lang w:val="en-US" w:eastAsia="zh-CN"/>
                    </w:rPr>
                    <w:t>，足够盛放事故时的箱变变压器油。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rPr>
                  </w:pPr>
                </w:p>
              </w:tc>
              <w:tc>
                <w:tcPr>
                  <w:tcW w:w="372"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textAlignment w:val="auto"/>
                    <w:rPr>
                      <w:rFonts w:hint="default" w:ascii="Times New Roman" w:hAnsi="Times New Roman" w:eastAsia="宋体" w:cs="Times New Roman"/>
                      <w:color w:val="auto"/>
                      <w:sz w:val="21"/>
                      <w:szCs w:val="21"/>
                    </w:rPr>
                  </w:pPr>
                </w:p>
              </w:tc>
              <w:tc>
                <w:tcPr>
                  <w:tcW w:w="975" w:type="dxa"/>
                  <w:gridSpan w:val="2"/>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地下水防渗</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事故油池严格按照《危险废物贮存污染控制标准》（GB18597-2023）要求进行建设及管理</w:t>
                  </w:r>
                  <w:r>
                    <w:rPr>
                      <w:rFonts w:hint="eastAsia" w:cs="Times New Roman"/>
                      <w:color w:val="auto"/>
                      <w:sz w:val="21"/>
                      <w:szCs w:val="21"/>
                      <w:lang w:val="en-US" w:eastAsia="zh-CN"/>
                    </w:rPr>
                    <w:t>，事故油池</w:t>
                  </w:r>
                  <w:r>
                    <w:rPr>
                      <w:rFonts w:hint="default" w:ascii="Times New Roman" w:hAnsi="Times New Roman" w:eastAsia="宋体" w:cs="Times New Roman"/>
                      <w:color w:val="auto"/>
                      <w:sz w:val="21"/>
                      <w:szCs w:val="21"/>
                      <w:lang w:val="en-US" w:eastAsia="zh-CN"/>
                    </w:rPr>
                    <w:t>做基础防渗，防渗层为至少1m厚的粘土层（渗透系数不大于1.0×10</w:t>
                  </w:r>
                  <w:r>
                    <w:rPr>
                      <w:rFonts w:hint="default" w:ascii="Times New Roman" w:hAnsi="Times New Roman" w:eastAsia="宋体" w:cs="Times New Roman"/>
                      <w:color w:val="auto"/>
                      <w:sz w:val="21"/>
                      <w:szCs w:val="21"/>
                      <w:vertAlign w:val="superscript"/>
                      <w:lang w:val="en-US" w:eastAsia="zh-CN"/>
                    </w:rPr>
                    <w:t>-7</w:t>
                  </w:r>
                  <w:r>
                    <w:rPr>
                      <w:rFonts w:hint="default" w:ascii="Times New Roman" w:hAnsi="Times New Roman" w:eastAsia="宋体" w:cs="Times New Roman"/>
                      <w:color w:val="auto"/>
                      <w:sz w:val="21"/>
                      <w:szCs w:val="21"/>
                      <w:lang w:val="en-US" w:eastAsia="zh-CN"/>
                    </w:rPr>
                    <w:t>cm/s），或至少2mm厚高密度聚乙烯等人工防渗材料（渗透系数不大于1.0×10</w:t>
                  </w:r>
                  <w:r>
                    <w:rPr>
                      <w:rFonts w:hint="default" w:ascii="Times New Roman" w:hAnsi="Times New Roman" w:eastAsia="宋体" w:cs="Times New Roman"/>
                      <w:color w:val="auto"/>
                      <w:sz w:val="21"/>
                      <w:szCs w:val="21"/>
                      <w:vertAlign w:val="superscript"/>
                      <w:lang w:val="en-US" w:eastAsia="zh-CN"/>
                    </w:rPr>
                    <w:t>-10</w:t>
                  </w:r>
                  <w:r>
                    <w:rPr>
                      <w:rFonts w:hint="default" w:ascii="Times New Roman" w:hAnsi="Times New Roman" w:eastAsia="宋体" w:cs="Times New Roman"/>
                      <w:color w:val="auto"/>
                      <w:sz w:val="21"/>
                      <w:szCs w:val="21"/>
                      <w:lang w:val="en-US" w:eastAsia="zh-CN"/>
                    </w:rPr>
                    <w:t>cm/s），或其他防渗性能等效的材料。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4" w:hRule="atLeast"/>
                <w:tblHeader/>
                <w:jc w:val="center"/>
              </w:trPr>
              <w:tc>
                <w:tcPr>
                  <w:tcW w:w="668" w:type="dxa"/>
                  <w:vMerge w:val="restart"/>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临时工程</w:t>
                  </w:r>
                </w:p>
              </w:tc>
              <w:tc>
                <w:tcPr>
                  <w:tcW w:w="1347" w:type="dxa"/>
                  <w:gridSpan w:val="3"/>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color w:val="auto"/>
                      <w:sz w:val="21"/>
                      <w:szCs w:val="21"/>
                      <w:highlight w:val="yellow"/>
                      <w:lang w:eastAsia="zh-CN"/>
                    </w:rPr>
                  </w:pPr>
                  <w:r>
                    <w:rPr>
                      <w:rFonts w:hint="eastAsia" w:cs="Times New Roman"/>
                      <w:color w:val="auto"/>
                      <w:sz w:val="21"/>
                      <w:szCs w:val="21"/>
                      <w:highlight w:val="none"/>
                      <w:lang w:eastAsia="zh-CN"/>
                    </w:rPr>
                    <w:t>施工临时设施</w:t>
                  </w:r>
                </w:p>
              </w:tc>
              <w:tc>
                <w:tcPr>
                  <w:tcW w:w="6144"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jc w:val="left"/>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val="en-US" w:eastAsia="zh-CN"/>
                    </w:rPr>
                    <w:t xml:space="preserve">本期风电场场区内施工临建工程主要有综合加工厂、仓库、机械停放场、临时堆料场及临时办公生活区等。风电场工程共设置 </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 xml:space="preserve"> 组施工临时设施，</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临时设施占地约为</w:t>
                  </w:r>
                  <w:r>
                    <w:rPr>
                      <w:rFonts w:hint="eastAsia" w:cs="Times New Roman"/>
                      <w:color w:val="auto"/>
                      <w:sz w:val="21"/>
                      <w:szCs w:val="21"/>
                      <w:highlight w:val="none"/>
                      <w:lang w:val="en-US" w:eastAsia="zh-CN"/>
                    </w:rPr>
                    <w:t>20000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#临时设施占地约为2</w:t>
                  </w:r>
                  <w:r>
                    <w:rPr>
                      <w:rFonts w:hint="eastAsia" w:cs="Times New Roman"/>
                      <w:color w:val="auto"/>
                      <w:sz w:val="21"/>
                      <w:szCs w:val="21"/>
                      <w:highlight w:val="none"/>
                      <w:lang w:val="en-US" w:eastAsia="zh-CN"/>
                    </w:rPr>
                    <w:t>0000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#临时设施占地约为20</w:t>
                  </w:r>
                  <w:r>
                    <w:rPr>
                      <w:rFonts w:hint="eastAsia" w:cs="Times New Roman"/>
                      <w:color w:val="auto"/>
                      <w:sz w:val="21"/>
                      <w:szCs w:val="21"/>
                      <w:highlight w:val="none"/>
                      <w:lang w:val="en-US" w:eastAsia="zh-CN"/>
                    </w:rPr>
                    <w:t>000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 xml:space="preserve"> 2</w:t>
                  </w:r>
                  <w:r>
                    <w:rPr>
                      <w:rFonts w:hint="default" w:ascii="Times New Roman" w:hAnsi="Times New Roman" w:eastAsia="宋体" w:cs="Times New Roman"/>
                      <w:color w:val="auto"/>
                      <w:sz w:val="21"/>
                      <w:szCs w:val="21"/>
                      <w:highlight w:val="none"/>
                      <w:lang w:val="en-US" w:eastAsia="zh-CN"/>
                    </w:rPr>
                    <w:t>，风电场工程临时设施总占地约为</w:t>
                  </w:r>
                  <w:r>
                    <w:rPr>
                      <w:rFonts w:hint="eastAsia" w:cs="Times New Roman"/>
                      <w:color w:val="auto"/>
                      <w:sz w:val="21"/>
                      <w:szCs w:val="21"/>
                      <w:highlight w:val="none"/>
                      <w:lang w:val="en-US" w:eastAsia="zh-CN"/>
                    </w:rPr>
                    <w:t>60000m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b/>
                      <w:color w:val="auto"/>
                      <w:sz w:val="21"/>
                      <w:szCs w:val="21"/>
                      <w:lang w:eastAsia="zh-CN"/>
                    </w:rPr>
                  </w:pPr>
                </w:p>
              </w:tc>
              <w:tc>
                <w:tcPr>
                  <w:tcW w:w="1347" w:type="dxa"/>
                  <w:gridSpan w:val="3"/>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风机吊装平台</w:t>
                  </w:r>
                </w:p>
              </w:tc>
              <w:tc>
                <w:tcPr>
                  <w:tcW w:w="6144" w:type="dxa"/>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为满足风电机组的施工安装需要，在每个风机设一施工吊装场地，并与场内施工道路相连。</w:t>
                  </w:r>
                  <w:r>
                    <w:rPr>
                      <w:rFonts w:hint="eastAsia" w:cs="Times New Roman"/>
                      <w:b w:val="0"/>
                      <w:bCs w:val="0"/>
                      <w:color w:val="auto"/>
                      <w:sz w:val="21"/>
                      <w:szCs w:val="21"/>
                      <w:highlight w:val="none"/>
                      <w:lang w:val="en-US" w:eastAsia="zh-CN"/>
                    </w:rPr>
                    <w:t>风机吊装平台</w:t>
                  </w:r>
                  <w:r>
                    <w:rPr>
                      <w:rFonts w:hint="default" w:ascii="Times New Roman" w:hAnsi="Times New Roman" w:eastAsia="宋体" w:cs="Times New Roman"/>
                      <w:b w:val="0"/>
                      <w:bCs w:val="0"/>
                      <w:color w:val="auto"/>
                      <w:sz w:val="21"/>
                      <w:szCs w:val="21"/>
                      <w:highlight w:val="none"/>
                      <w:lang w:val="en-US" w:eastAsia="zh-CN"/>
                    </w:rPr>
                    <w:t>共</w:t>
                  </w:r>
                  <w:r>
                    <w:rPr>
                      <w:rFonts w:hint="eastAsia" w:cs="Times New Roman"/>
                      <w:b w:val="0"/>
                      <w:bCs w:val="0"/>
                      <w:color w:val="auto"/>
                      <w:sz w:val="21"/>
                      <w:szCs w:val="21"/>
                      <w:highlight w:val="none"/>
                      <w:lang w:val="en-US" w:eastAsia="zh-CN"/>
                    </w:rPr>
                    <w:t>173</w:t>
                  </w:r>
                  <w:r>
                    <w:rPr>
                      <w:rFonts w:hint="default" w:cs="Times New Roman"/>
                      <w:b w:val="0"/>
                      <w:bCs w:val="0"/>
                      <w:color w:val="auto"/>
                      <w:sz w:val="21"/>
                      <w:szCs w:val="21"/>
                      <w:highlight w:val="none"/>
                      <w:lang w:val="en-US" w:eastAsia="zh-CN"/>
                    </w:rPr>
                    <w:t>处，总占地面积为</w:t>
                  </w:r>
                  <w:r>
                    <w:rPr>
                      <w:rFonts w:hint="eastAsia" w:cs="Times New Roman"/>
                      <w:b w:val="0"/>
                      <w:bCs w:val="0"/>
                      <w:color w:val="auto"/>
                      <w:sz w:val="21"/>
                      <w:szCs w:val="21"/>
                      <w:highlight w:val="none"/>
                      <w:lang w:val="en-US" w:eastAsia="zh-CN"/>
                    </w:rPr>
                    <w:t>1419150</w:t>
                  </w:r>
                  <w:r>
                    <w:rPr>
                      <w:rFonts w:hint="default" w:cs="Times New Roman"/>
                      <w:b w:val="0"/>
                      <w:bCs w:val="0"/>
                      <w:color w:val="auto"/>
                      <w:sz w:val="21"/>
                      <w:szCs w:val="21"/>
                      <w:highlight w:val="none"/>
                      <w:lang w:val="en-US" w:eastAsia="zh-CN"/>
                    </w:rPr>
                    <w:t>m</w:t>
                  </w:r>
                  <w:r>
                    <w:rPr>
                      <w:rFonts w:hint="default" w:cs="Times New Roman"/>
                      <w:b w:val="0"/>
                      <w:bCs w:val="0"/>
                      <w:color w:val="auto"/>
                      <w:sz w:val="21"/>
                      <w:szCs w:val="21"/>
                      <w:highlight w:val="none"/>
                      <w:vertAlign w:val="superscript"/>
                      <w:lang w:val="en-US" w:eastAsia="zh-CN"/>
                    </w:rPr>
                    <w:t>2</w:t>
                  </w:r>
                  <w:r>
                    <w:rPr>
                      <w:rFonts w:hint="default"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同时在此平台内以轮毂为中心，半径600m的区域内，要设立一个无障碍区域，用于叶轮的组装。施工结束后全部恢复为原地貌。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tblHeader/>
                <w:jc w:val="center"/>
              </w:trPr>
              <w:tc>
                <w:tcPr>
                  <w:tcW w:w="668"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b/>
                      <w:color w:val="auto"/>
                      <w:sz w:val="21"/>
                      <w:szCs w:val="21"/>
                      <w:lang w:eastAsia="zh-CN"/>
                    </w:rPr>
                  </w:pPr>
                </w:p>
              </w:tc>
              <w:tc>
                <w:tcPr>
                  <w:tcW w:w="1347" w:type="dxa"/>
                  <w:gridSpan w:val="3"/>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default" w:ascii="Times New Roman" w:hAnsi="Times New Roman"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弃土场</w:t>
                  </w:r>
                </w:p>
              </w:tc>
              <w:tc>
                <w:tcPr>
                  <w:tcW w:w="6144" w:type="dxa"/>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default" w:ascii="Times New Roman" w:hAnsi="Times New Roman" w:cs="Times New Roman"/>
                      <w:color w:val="auto"/>
                      <w:sz w:val="21"/>
                      <w:szCs w:val="21"/>
                      <w:highlight w:val="yellow"/>
                      <w:lang w:val="en-US" w:eastAsia="zh-CN"/>
                    </w:rPr>
                  </w:pPr>
                  <w:r>
                    <w:rPr>
                      <w:rFonts w:hint="default" w:ascii="Times New Roman" w:hAnsi="Times New Roman" w:cs="Times New Roman"/>
                      <w:color w:val="auto"/>
                      <w:sz w:val="21"/>
                      <w:szCs w:val="21"/>
                      <w:highlight w:val="none"/>
                      <w:lang w:val="en-US" w:eastAsia="zh-CN"/>
                    </w:rPr>
                    <w:t>根据设计单位提供资料，弃土场分别利用取沙坑和废弃沟道，共计</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1个，总计占地面积</w:t>
                  </w:r>
                  <w:r>
                    <w:rPr>
                      <w:rFonts w:hint="eastAsia" w:ascii="Times New Roman" w:hAnsi="Times New Roman" w:cs="Times New Roman"/>
                      <w:color w:val="auto"/>
                      <w:sz w:val="21"/>
                      <w:szCs w:val="21"/>
                      <w:highlight w:val="none"/>
                      <w:lang w:val="en-US" w:eastAsia="zh-CN"/>
                    </w:rPr>
                    <w:t>377765</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。平均深度</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val="en-US" w:eastAsia="zh-CN"/>
                    </w:rPr>
                    <w:t>m，可弃土</w:t>
                  </w:r>
                  <w:r>
                    <w:rPr>
                      <w:rFonts w:hint="eastAsia"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lang w:val="en-US" w:eastAsia="zh-CN"/>
                    </w:rPr>
                    <w:t>万m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，在施工过程中，将土方开挖后不能利用的余土运至弃土场摊平，弃土运至弃土场后回填整平并进行复垦，覆土后复垦为原土地类型。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668" w:type="dxa"/>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b/>
                      <w:color w:val="auto"/>
                      <w:sz w:val="21"/>
                      <w:szCs w:val="21"/>
                      <w:lang w:eastAsia="zh-CN"/>
                    </w:rPr>
                  </w:pPr>
                </w:p>
              </w:tc>
              <w:tc>
                <w:tcPr>
                  <w:tcW w:w="1347" w:type="dxa"/>
                  <w:gridSpan w:val="3"/>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电缆沟</w:t>
                  </w:r>
                </w:p>
              </w:tc>
              <w:tc>
                <w:tcPr>
                  <w:tcW w:w="6144" w:type="dxa"/>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电缆沟为临时占地，用地结束后恢复原有地貌，占地面积为45000m</w:t>
                  </w:r>
                  <w:r>
                    <w:rPr>
                      <w:rFonts w:hint="eastAsia" w:ascii="Times New Roman" w:hAnsi="Times New Roman" w:cs="Times New Roman"/>
                      <w:color w:val="auto"/>
                      <w:sz w:val="21"/>
                      <w:szCs w:val="21"/>
                      <w:highlight w:val="none"/>
                      <w:vertAlign w:val="superscript"/>
                      <w:lang w:val="en-US" w:eastAsia="zh-CN"/>
                    </w:rPr>
                    <w:t>2</w:t>
                  </w:r>
                  <w:r>
                    <w:rPr>
                      <w:rFonts w:hint="eastAsia" w:ascii="Times New Roman" w:hAnsi="Times New Roman" w:cs="Times New Roman"/>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668" w:type="dxa"/>
                  <w:tcBorders>
                    <w:tl2br w:val="nil"/>
                    <w:tr2bl w:val="nil"/>
                  </w:tcBorders>
                  <w:noWrap w:val="0"/>
                  <w:vAlign w:val="center"/>
                </w:tcPr>
                <w:p>
                  <w:pPr>
                    <w:keepNext w:val="0"/>
                    <w:keepLines w:val="0"/>
                    <w:pageBreakBefore w:val="0"/>
                    <w:kinsoku/>
                    <w:wordWrap/>
                    <w:overflowPunct/>
                    <w:topLinePunct w:val="0"/>
                    <w:bidi w:val="0"/>
                    <w:adjustRightInd/>
                    <w:snapToGrid w:val="0"/>
                    <w:contextualSpacing/>
                    <w:jc w:val="center"/>
                    <w:textAlignment w:val="auto"/>
                    <w:rPr>
                      <w:rFonts w:hint="default" w:ascii="Times New Roman" w:hAnsi="Times New Roman" w:eastAsia="宋体" w:cs="Times New Roman"/>
                      <w:b/>
                      <w:color w:val="auto"/>
                      <w:sz w:val="21"/>
                      <w:szCs w:val="21"/>
                      <w:lang w:eastAsia="zh-CN"/>
                    </w:rPr>
                  </w:pPr>
                </w:p>
              </w:tc>
              <w:tc>
                <w:tcPr>
                  <w:tcW w:w="1347" w:type="dxa"/>
                  <w:gridSpan w:val="3"/>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道路</w:t>
                  </w:r>
                </w:p>
              </w:tc>
              <w:tc>
                <w:tcPr>
                  <w:tcW w:w="6144" w:type="dxa"/>
                  <w:tcBorders>
                    <w:tl2br w:val="nil"/>
                    <w:tr2bl w:val="nil"/>
                  </w:tcBorders>
                  <w:noWrap w:val="0"/>
                  <w:vAlign w:val="center"/>
                </w:tcPr>
                <w:p>
                  <w:pPr>
                    <w:keepNext w:val="0"/>
                    <w:keepLines w:val="0"/>
                    <w:pageBreakBefore w:val="0"/>
                    <w:widowControl/>
                    <w:suppressLineNumbers w:val="0"/>
                    <w:kinsoku/>
                    <w:wordWrap/>
                    <w:topLinePunct w:val="0"/>
                    <w:autoSpaceDE/>
                    <w:autoSpaceDN/>
                    <w:bidi w:val="0"/>
                    <w:spacing w:line="240" w:lineRule="auto"/>
                    <w:jc w:val="left"/>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施工道路在施工期结束后，一部分恢复为原有地貌（占地面积195000m</w:t>
                  </w:r>
                  <w:r>
                    <w:rPr>
                      <w:rFonts w:hint="eastAsia" w:ascii="Times New Roman" w:hAnsi="Times New Roman" w:cs="Times New Roman"/>
                      <w:color w:val="auto"/>
                      <w:sz w:val="21"/>
                      <w:szCs w:val="21"/>
                      <w:highlight w:val="none"/>
                      <w:vertAlign w:val="superscript"/>
                      <w:lang w:val="en-US" w:eastAsia="zh-CN"/>
                    </w:rPr>
                    <w:t>2</w:t>
                  </w:r>
                  <w:r>
                    <w:rPr>
                      <w:rFonts w:hint="eastAsia" w:ascii="Times New Roman" w:hAnsi="Times New Roman" w:cs="Times New Roman"/>
                      <w:color w:val="auto"/>
                      <w:sz w:val="21"/>
                      <w:szCs w:val="21"/>
                      <w:highlight w:val="none"/>
                      <w:lang w:val="en-US" w:eastAsia="zh-CN"/>
                    </w:rPr>
                    <w:t>，为临时占地），一部分用于运营期检修道路（以偿代征25年）。</w:t>
                  </w:r>
                </w:p>
              </w:tc>
            </w:tr>
          </w:tbl>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2" w:firstLineChars="20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lang w:val="en-US" w:eastAsia="zh-CN"/>
              </w:rPr>
              <w:t>物料来源及可行性</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根据施工总布置的安排以及混凝土浇筑进度要求，为减少设备配置，提高施工效率，本工程混凝土采用购买商品混凝土，商品混凝土在海原县商混站采购，距离均在20km 左右。</w:t>
            </w:r>
            <w:r>
              <w:rPr>
                <w:rFonts w:hint="eastAsia" w:cs="Times New Roman"/>
                <w:color w:val="auto"/>
                <w:lang w:val="en-US" w:eastAsia="zh-CN"/>
              </w:rPr>
              <w:t xml:space="preserve"> 本工程主要建筑物材料供应充足，钢筋、钢材、油料及生活物资从海原县采购。施工修配与加工系统主要利用海原县当地企业，施工区只设相应的小型修配系统。</w:t>
            </w:r>
          </w:p>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2"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w:t>
            </w:r>
            <w:r>
              <w:rPr>
                <w:rFonts w:hint="default" w:ascii="Times New Roman" w:hAnsi="Times New Roman" w:eastAsia="仿宋" w:cs="Times New Roman"/>
                <w:color w:val="auto"/>
                <w:lang w:val="en-US" w:eastAsia="zh-CN"/>
              </w:rPr>
              <w:t>.</w:t>
            </w:r>
            <w:r>
              <w:rPr>
                <w:rFonts w:hint="eastAsia" w:ascii="Times New Roman" w:hAnsi="Times New Roman" w:eastAsia="仿宋" w:cs="Times New Roman"/>
                <w:color w:val="auto"/>
                <w:lang w:val="en-US" w:eastAsia="zh-CN"/>
              </w:rPr>
              <w:t>主要设备</w:t>
            </w:r>
          </w:p>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0" w:firstLineChars="200"/>
              <w:rPr>
                <w:rFonts w:hint="default" w:ascii="Times New Roman" w:hAnsi="Times New Roman" w:eastAsia="仿宋_GB2312" w:cs="Times New Roman"/>
                <w:b w:val="0"/>
                <w:color w:val="auto"/>
                <w:kern w:val="16"/>
                <w:sz w:val="24"/>
                <w:szCs w:val="24"/>
                <w:lang w:val="en-US" w:eastAsia="zh-CN" w:bidi="ar-SA"/>
              </w:rPr>
            </w:pPr>
            <w:r>
              <w:rPr>
                <w:rFonts w:hint="default" w:ascii="Times New Roman" w:hAnsi="Times New Roman" w:eastAsia="仿宋_GB2312" w:cs="Times New Roman"/>
                <w:b w:val="0"/>
                <w:color w:val="auto"/>
                <w:kern w:val="16"/>
                <w:sz w:val="24"/>
                <w:szCs w:val="24"/>
                <w:lang w:val="en-US" w:eastAsia="zh-CN" w:bidi="ar-SA"/>
              </w:rPr>
              <w:t>本项目主要设备配置情况见表6。</w:t>
            </w:r>
          </w:p>
          <w:p>
            <w:pPr>
              <w:pStyle w:val="48"/>
              <w:keepNext w:val="0"/>
              <w:keepLines w:val="0"/>
              <w:pageBreakBefore w:val="0"/>
              <w:widowControl w:val="0"/>
              <w:kinsoku/>
              <w:wordWrap/>
              <w:topLinePunct w:val="0"/>
              <w:autoSpaceDE/>
              <w:autoSpaceDN/>
              <w:bidi w:val="0"/>
              <w:adjustRightInd w:val="0"/>
              <w:snapToGrid w:val="0"/>
              <w:spacing w:before="0" w:beforeLines="0" w:after="0" w:afterLines="0" w:line="240" w:lineRule="auto"/>
              <w:ind w:firstLine="482" w:firstLineChars="200"/>
              <w:rPr>
                <w:rFonts w:hint="default" w:cs="Times New Roman"/>
                <w:color w:val="auto"/>
                <w:lang w:val="en-US" w:eastAsia="zh-CN"/>
              </w:rPr>
            </w:pPr>
            <w:r>
              <w:rPr>
                <w:rFonts w:hint="default" w:cs="Times New Roman"/>
                <w:color w:val="auto"/>
                <w:lang w:val="en-US" w:eastAsia="zh-CN"/>
              </w:rPr>
              <w:t>表6                  主要设备配置一览表</w:t>
            </w:r>
          </w:p>
          <w:tbl>
            <w:tblPr>
              <w:tblStyle w:val="89"/>
              <w:tblW w:w="8097" w:type="dxa"/>
              <w:tblInd w:w="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62"/>
              <w:gridCol w:w="2304"/>
              <w:gridCol w:w="2887"/>
              <w:gridCol w:w="988"/>
              <w:gridCol w:w="1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62"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序号</w:t>
                  </w:r>
                </w:p>
              </w:tc>
              <w:tc>
                <w:tcPr>
                  <w:tcW w:w="2304"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设备名称</w:t>
                  </w:r>
                </w:p>
              </w:tc>
              <w:tc>
                <w:tcPr>
                  <w:tcW w:w="28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型号及模型</w:t>
                  </w:r>
                </w:p>
              </w:tc>
              <w:tc>
                <w:tcPr>
                  <w:tcW w:w="988"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单位</w:t>
                  </w:r>
                </w:p>
              </w:tc>
              <w:tc>
                <w:tcPr>
                  <w:tcW w:w="1056"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bCs/>
                      <w:color w:val="auto"/>
                      <w:kern w:val="2"/>
                      <w:sz w:val="21"/>
                      <w:szCs w:val="21"/>
                      <w:lang w:val="en-US" w:eastAsia="zh-CN"/>
                    </w:rPr>
                  </w:pPr>
                  <w:r>
                    <w:rPr>
                      <w:rFonts w:hint="default" w:ascii="Times New Roman" w:hAnsi="Times New Roman" w:eastAsia="宋体" w:cs="Times New Roman"/>
                      <w:b/>
                      <w:bCs/>
                      <w:color w:val="auto"/>
                      <w:kern w:val="2"/>
                      <w:sz w:val="21"/>
                      <w:szCs w:val="21"/>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862"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1</w:t>
                  </w:r>
                </w:p>
              </w:tc>
              <w:tc>
                <w:tcPr>
                  <w:tcW w:w="2304"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风力发电机组</w:t>
                  </w:r>
                </w:p>
              </w:tc>
              <w:tc>
                <w:tcPr>
                  <w:tcW w:w="28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eastAsia" w:cs="Times New Roman"/>
                      <w:b w:val="0"/>
                      <w:bCs w:val="0"/>
                      <w:color w:val="auto"/>
                      <w:kern w:val="2"/>
                      <w:sz w:val="21"/>
                      <w:szCs w:val="21"/>
                      <w:lang w:val="en-US" w:eastAsia="zh-CN"/>
                    </w:rPr>
                    <w:t>7150</w:t>
                  </w:r>
                  <w:r>
                    <w:rPr>
                      <w:rFonts w:hint="default" w:ascii="Times New Roman" w:hAnsi="Times New Roman" w:eastAsia="宋体" w:cs="Times New Roman"/>
                      <w:b w:val="0"/>
                      <w:bCs w:val="0"/>
                      <w:color w:val="auto"/>
                      <w:kern w:val="2"/>
                      <w:sz w:val="21"/>
                      <w:szCs w:val="21"/>
                      <w:lang w:val="en-US" w:eastAsia="zh-CN"/>
                    </w:rPr>
                    <w:t>kW</w:t>
                  </w:r>
                </w:p>
              </w:tc>
              <w:tc>
                <w:tcPr>
                  <w:tcW w:w="988"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台</w:t>
                  </w:r>
                </w:p>
              </w:tc>
              <w:tc>
                <w:tcPr>
                  <w:tcW w:w="1056"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eastAsia" w:cs="Times New Roman"/>
                      <w:b w:val="0"/>
                      <w:bCs w:val="0"/>
                      <w:color w:val="auto"/>
                      <w:kern w:val="2"/>
                      <w:sz w:val="21"/>
                      <w:szCs w:val="21"/>
                      <w:lang w:val="en-US" w:eastAsia="zh-CN"/>
                    </w:rPr>
                    <w:t>15</w:t>
                  </w:r>
                  <w:r>
                    <w:rPr>
                      <w:rFonts w:hint="eastAsia" w:ascii="Times New Roman" w:hAnsi="Times New Roman" w:eastAsia="宋体" w:cs="Times New Roman"/>
                      <w:b w:val="0"/>
                      <w:bCs w:val="0"/>
                      <w:color w:val="auto"/>
                      <w:kern w:val="2"/>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862"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2</w:t>
                  </w:r>
                </w:p>
              </w:tc>
              <w:tc>
                <w:tcPr>
                  <w:tcW w:w="2304"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箱式变压器</w:t>
                  </w:r>
                </w:p>
              </w:tc>
              <w:tc>
                <w:tcPr>
                  <w:tcW w:w="28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S18-7900/35</w:t>
                  </w:r>
                </w:p>
              </w:tc>
              <w:tc>
                <w:tcPr>
                  <w:tcW w:w="988"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台</w:t>
                  </w:r>
                </w:p>
              </w:tc>
              <w:tc>
                <w:tcPr>
                  <w:tcW w:w="1056"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beforeLines="0" w:afterLines="0" w:line="240" w:lineRule="auto"/>
                    <w:ind w:left="0" w:right="0" w:firstLine="0"/>
                    <w:jc w:val="center"/>
                    <w:textAlignment w:val="auto"/>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1</w:t>
                  </w:r>
                  <w:r>
                    <w:rPr>
                      <w:rFonts w:hint="eastAsia" w:cs="Times New Roman"/>
                      <w:b w:val="0"/>
                      <w:bCs w:val="0"/>
                      <w:color w:val="auto"/>
                      <w:kern w:val="2"/>
                      <w:sz w:val="21"/>
                      <w:szCs w:val="21"/>
                      <w:lang w:val="en-US" w:eastAsia="zh-CN"/>
                    </w:rPr>
                    <w:t>5</w:t>
                  </w:r>
                  <w:r>
                    <w:rPr>
                      <w:rFonts w:hint="eastAsia" w:ascii="Times New Roman" w:hAnsi="Times New Roman" w:eastAsia="宋体" w:cs="Times New Roman"/>
                      <w:b w:val="0"/>
                      <w:bCs w:val="0"/>
                      <w:color w:val="auto"/>
                      <w:kern w:val="2"/>
                      <w:sz w:val="21"/>
                      <w:szCs w:val="21"/>
                      <w:lang w:val="en-US" w:eastAsia="zh-CN"/>
                    </w:rPr>
                    <w:t>0</w:t>
                  </w:r>
                </w:p>
              </w:tc>
            </w:tr>
          </w:tbl>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2" w:firstLineChars="2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4.技术指标</w:t>
            </w:r>
          </w:p>
          <w:p>
            <w:pPr>
              <w:pStyle w:val="48"/>
              <w:keepNext w:val="0"/>
              <w:keepLines w:val="0"/>
              <w:pageBreakBefore w:val="0"/>
              <w:widowControl w:val="0"/>
              <w:kinsoku/>
              <w:wordWrap/>
              <w:topLinePunct w:val="0"/>
              <w:autoSpaceDE/>
              <w:autoSpaceDN/>
              <w:bidi w:val="0"/>
              <w:adjustRightInd w:val="0"/>
              <w:snapToGrid w:val="0"/>
              <w:spacing w:before="0" w:beforeLines="0" w:after="0" w:afterLines="0" w:line="240" w:lineRule="auto"/>
              <w:ind w:firstLine="482" w:firstLineChars="200"/>
              <w:rPr>
                <w:rFonts w:hint="default" w:cs="Times New Roman"/>
                <w:color w:val="auto"/>
                <w:lang w:val="en-US" w:eastAsia="zh-CN"/>
              </w:rPr>
            </w:pPr>
            <w:r>
              <w:rPr>
                <w:rFonts w:hint="default" w:cs="Times New Roman"/>
                <w:color w:val="auto"/>
                <w:lang w:val="en-US" w:eastAsia="zh-CN"/>
              </w:rPr>
              <w:t>表7                 项目主要技术指标表</w:t>
            </w:r>
          </w:p>
          <w:tbl>
            <w:tblPr>
              <w:tblStyle w:val="28"/>
              <w:tblW w:w="813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371"/>
              <w:gridCol w:w="399"/>
              <w:gridCol w:w="575"/>
              <w:gridCol w:w="2125"/>
              <w:gridCol w:w="781"/>
              <w:gridCol w:w="3281"/>
              <w:gridCol w:w="6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blHeader/>
              </w:trPr>
              <w:tc>
                <w:tcPr>
                  <w:tcW w:w="3470" w:type="dxa"/>
                  <w:gridSpan w:val="4"/>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名称</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单位（型号）</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数量</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22" w:hRule="atLeast"/>
              </w:trPr>
              <w:tc>
                <w:tcPr>
                  <w:tcW w:w="371"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风</w:t>
                  </w:r>
                </w:p>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电</w:t>
                  </w:r>
                </w:p>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场</w:t>
                  </w:r>
                </w:p>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场</w:t>
                  </w:r>
                </w:p>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址</w:t>
                  </w:r>
                </w:p>
              </w:tc>
              <w:tc>
                <w:tcPr>
                  <w:tcW w:w="3099" w:type="dxa"/>
                  <w:gridSpan w:val="3"/>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海拔</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m</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1590</w:t>
                  </w:r>
                  <w:r>
                    <w:rPr>
                      <w:rFonts w:hint="default" w:ascii="Times New Roman" w:hAnsi="Times New Roman" w:eastAsia="宋体" w:cs="Times New Roman"/>
                      <w:b w:val="0"/>
                      <w:bCs/>
                      <w:snapToGrid w:val="0"/>
                      <w:color w:val="auto"/>
                      <w:kern w:val="0"/>
                      <w:sz w:val="21"/>
                      <w:szCs w:val="21"/>
                      <w:lang w:val="en-US" w:eastAsia="zh-CN"/>
                    </w:rPr>
                    <w:t>～</w:t>
                  </w:r>
                  <w:r>
                    <w:rPr>
                      <w:rFonts w:hint="eastAsia" w:cs="Times New Roman"/>
                      <w:b w:val="0"/>
                      <w:bCs/>
                      <w:snapToGrid w:val="0"/>
                      <w:color w:val="auto"/>
                      <w:kern w:val="0"/>
                      <w:sz w:val="21"/>
                      <w:szCs w:val="21"/>
                      <w:lang w:val="en-US" w:eastAsia="zh-CN"/>
                    </w:rPr>
                    <w:t>2350</w:t>
                  </w:r>
                </w:p>
              </w:tc>
              <w:tc>
                <w:tcPr>
                  <w:tcW w:w="606"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099" w:type="dxa"/>
                  <w:gridSpan w:val="3"/>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经度（东经）</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u w:val="none"/>
                      <w:lang w:val="en-US" w:eastAsia="zh-CN"/>
                    </w:rPr>
                    <w:t>105°21′57.078″-106°27′50.893″</w:t>
                  </w:r>
                </w:p>
              </w:tc>
              <w:tc>
                <w:tcPr>
                  <w:tcW w:w="606"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2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099" w:type="dxa"/>
                  <w:gridSpan w:val="3"/>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纬度（北纬）</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u w:val="none"/>
                      <w:lang w:val="en-US" w:eastAsia="zh-CN"/>
                    </w:rPr>
                  </w:pPr>
                  <w:r>
                    <w:rPr>
                      <w:rFonts w:hint="default" w:ascii="Times New Roman" w:hAnsi="Times New Roman" w:eastAsia="宋体" w:cs="Times New Roman"/>
                      <w:b w:val="0"/>
                      <w:bCs/>
                      <w:snapToGrid w:val="0"/>
                      <w:color w:val="auto"/>
                      <w:kern w:val="0"/>
                      <w:sz w:val="21"/>
                      <w:szCs w:val="21"/>
                      <w:u w:val="none"/>
                      <w:lang w:val="en-US" w:eastAsia="zh-CN"/>
                    </w:rPr>
                    <w:t>/</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u w:val="none"/>
                      <w:lang w:val="en-US" w:eastAsia="zh-CN"/>
                    </w:rPr>
                  </w:pPr>
                  <w:r>
                    <w:rPr>
                      <w:rFonts w:hint="default" w:ascii="Times New Roman" w:hAnsi="Times New Roman" w:eastAsia="宋体" w:cs="Times New Roman"/>
                      <w:color w:val="auto"/>
                      <w:sz w:val="21"/>
                      <w:szCs w:val="21"/>
                      <w:highlight w:val="none"/>
                      <w:u w:val="none"/>
                      <w:lang w:val="en-US" w:eastAsia="zh-CN"/>
                    </w:rPr>
                    <w:t>36°14′38.414″- 36°51′24.613″</w:t>
                  </w:r>
                </w:p>
              </w:tc>
              <w:tc>
                <w:tcPr>
                  <w:tcW w:w="606"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7"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099" w:type="dxa"/>
                  <w:gridSpan w:val="3"/>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年平均风速（轮毂高度）</w:t>
                  </w:r>
                </w:p>
              </w:tc>
              <w:tc>
                <w:tcPr>
                  <w:tcW w:w="781"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m/s</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ascii="Times New Roman" w:hAnsi="Times New Roman" w:eastAsia="宋体" w:cs="Times New Roman"/>
                      <w:b w:val="0"/>
                      <w:bCs/>
                      <w:snapToGrid w:val="0"/>
                      <w:color w:val="auto"/>
                      <w:kern w:val="0"/>
                      <w:sz w:val="21"/>
                      <w:szCs w:val="21"/>
                      <w:lang w:val="en-US" w:eastAsia="zh-CN"/>
                    </w:rPr>
                    <w:t>5.01～7.29</w:t>
                  </w:r>
                </w:p>
              </w:tc>
              <w:tc>
                <w:tcPr>
                  <w:tcW w:w="606"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23"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099" w:type="dxa"/>
                  <w:gridSpan w:val="3"/>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风功率密度（轮毂高度）</w:t>
                  </w:r>
                </w:p>
              </w:tc>
              <w:tc>
                <w:tcPr>
                  <w:tcW w:w="781"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W/m</w:t>
                  </w:r>
                  <w:r>
                    <w:rPr>
                      <w:rFonts w:hint="default" w:ascii="Times New Roman" w:hAnsi="Times New Roman" w:eastAsia="宋体" w:cs="Times New Roman"/>
                      <w:b w:val="0"/>
                      <w:bCs/>
                      <w:snapToGrid w:val="0"/>
                      <w:color w:val="auto"/>
                      <w:kern w:val="0"/>
                      <w:sz w:val="21"/>
                      <w:szCs w:val="21"/>
                      <w:vertAlign w:val="superscript"/>
                      <w:lang w:val="en-US" w:eastAsia="zh-CN"/>
                    </w:rPr>
                    <w:t>2</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119～312</w:t>
                  </w:r>
                </w:p>
              </w:tc>
              <w:tc>
                <w:tcPr>
                  <w:tcW w:w="606"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099" w:type="dxa"/>
                  <w:gridSpan w:val="3"/>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ascii="Times New Roman" w:hAnsi="Times New Roman" w:eastAsia="宋体" w:cs="Times New Roman"/>
                      <w:b/>
                      <w:snapToGrid w:val="0"/>
                      <w:color w:val="auto"/>
                      <w:kern w:val="0"/>
                      <w:sz w:val="21"/>
                      <w:szCs w:val="21"/>
                      <w:lang w:val="en-US" w:eastAsia="zh-CN"/>
                    </w:rPr>
                  </w:pPr>
                  <w:r>
                    <w:rPr>
                      <w:rFonts w:hint="eastAsia" w:cs="Times New Roman"/>
                      <w:b/>
                      <w:snapToGrid w:val="0"/>
                      <w:color w:val="auto"/>
                      <w:kern w:val="0"/>
                      <w:sz w:val="21"/>
                      <w:szCs w:val="21"/>
                      <w:lang w:val="en-US" w:eastAsia="zh-CN"/>
                    </w:rPr>
                    <w:t>盛行风向</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 xml:space="preserve">S </w:t>
                  </w:r>
                  <w:r>
                    <w:rPr>
                      <w:rFonts w:hint="eastAsia" w:cs="Times New Roman"/>
                      <w:b w:val="0"/>
                      <w:bCs/>
                      <w:snapToGrid w:val="0"/>
                      <w:color w:val="auto"/>
                      <w:kern w:val="0"/>
                      <w:sz w:val="21"/>
                      <w:szCs w:val="21"/>
                      <w:lang w:val="en-US" w:eastAsia="zh-CN"/>
                    </w:rPr>
                    <w:t>、</w:t>
                  </w:r>
                  <w:r>
                    <w:rPr>
                      <w:rFonts w:hint="default" w:ascii="Times New Roman" w:hAnsi="Times New Roman" w:eastAsia="宋体" w:cs="Times New Roman"/>
                      <w:b w:val="0"/>
                      <w:bCs/>
                      <w:snapToGrid w:val="0"/>
                      <w:color w:val="auto"/>
                      <w:kern w:val="0"/>
                      <w:sz w:val="21"/>
                      <w:szCs w:val="21"/>
                      <w:lang w:val="en-US" w:eastAsia="zh-CN"/>
                    </w:rPr>
                    <w:t xml:space="preserve"> NNE</w:t>
                  </w:r>
                </w:p>
              </w:tc>
              <w:tc>
                <w:tcPr>
                  <w:tcW w:w="606"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主</w:t>
                  </w:r>
                </w:p>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要</w:t>
                  </w:r>
                </w:p>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设</w:t>
                  </w:r>
                </w:p>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备</w:t>
                  </w:r>
                </w:p>
              </w:tc>
              <w:tc>
                <w:tcPr>
                  <w:tcW w:w="399"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风电场主要机电设备</w:t>
                  </w:r>
                </w:p>
              </w:tc>
              <w:tc>
                <w:tcPr>
                  <w:tcW w:w="575"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风电机组</w:t>
                  </w: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台  数</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台</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150</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额定功率</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kW</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6667</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叶片数</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片</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3</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风轮直径</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m</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220</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轮毂高度</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m</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1</w:t>
                  </w:r>
                  <w:r>
                    <w:rPr>
                      <w:rFonts w:hint="eastAsia" w:cs="Times New Roman"/>
                      <w:b w:val="0"/>
                      <w:bCs/>
                      <w:snapToGrid w:val="0"/>
                      <w:color w:val="auto"/>
                      <w:kern w:val="0"/>
                      <w:sz w:val="21"/>
                      <w:szCs w:val="21"/>
                      <w:lang w:val="en-US" w:eastAsia="zh-CN"/>
                    </w:rPr>
                    <w:t>25</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风轮扫掠面积</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m</w:t>
                  </w:r>
                  <w:r>
                    <w:rPr>
                      <w:rFonts w:hint="eastAsia" w:cs="Times New Roman"/>
                      <w:b w:val="0"/>
                      <w:bCs/>
                      <w:snapToGrid w:val="0"/>
                      <w:color w:val="auto"/>
                      <w:kern w:val="0"/>
                      <w:sz w:val="21"/>
                      <w:szCs w:val="21"/>
                      <w:vertAlign w:val="superscript"/>
                      <w:lang w:val="en-US" w:eastAsia="zh-CN"/>
                    </w:rPr>
                    <w:t>2</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38013</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切入风速</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m/s</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3</w:t>
                  </w:r>
                  <w:r>
                    <w:rPr>
                      <w:rFonts w:hint="eastAsia" w:cs="Times New Roman"/>
                      <w:b w:val="0"/>
                      <w:bCs/>
                      <w:snapToGrid w:val="0"/>
                      <w:color w:val="auto"/>
                      <w:kern w:val="0"/>
                      <w:sz w:val="21"/>
                      <w:szCs w:val="21"/>
                      <w:lang w:val="en-US" w:eastAsia="zh-CN"/>
                    </w:rPr>
                    <w:t>/2.5</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额定风速</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m/s</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12/9/10.5</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切出风速</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m/s</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25/22</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eastAsia" w:cs="Times New Roman"/>
                      <w:b/>
                      <w:snapToGrid w:val="0"/>
                      <w:color w:val="auto"/>
                      <w:kern w:val="0"/>
                      <w:sz w:val="21"/>
                      <w:szCs w:val="21"/>
                      <w:lang w:val="en-US" w:eastAsia="zh-CN"/>
                    </w:rPr>
                    <w:t>极</w:t>
                  </w:r>
                  <w:r>
                    <w:rPr>
                      <w:rFonts w:hint="default" w:ascii="Times New Roman" w:hAnsi="Times New Roman" w:eastAsia="宋体" w:cs="Times New Roman"/>
                      <w:b/>
                      <w:snapToGrid w:val="0"/>
                      <w:color w:val="auto"/>
                      <w:kern w:val="0"/>
                      <w:sz w:val="21"/>
                      <w:szCs w:val="21"/>
                      <w:lang w:val="en-US" w:eastAsia="zh-CN"/>
                    </w:rPr>
                    <w:t>大风速（10min平均）</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m/s</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52.5</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eastAsia" w:cs="Times New Roman"/>
                      <w:b/>
                      <w:snapToGrid w:val="0"/>
                      <w:color w:val="auto"/>
                      <w:kern w:val="0"/>
                      <w:sz w:val="21"/>
                      <w:szCs w:val="21"/>
                      <w:lang w:val="en-US" w:eastAsia="zh-CN"/>
                    </w:rPr>
                  </w:pPr>
                  <w:r>
                    <w:rPr>
                      <w:rFonts w:hint="eastAsia" w:cs="Times New Roman"/>
                      <w:b/>
                      <w:snapToGrid w:val="0"/>
                      <w:color w:val="auto"/>
                      <w:kern w:val="0"/>
                      <w:sz w:val="21"/>
                      <w:szCs w:val="21"/>
                      <w:lang w:val="en-US" w:eastAsia="zh-CN"/>
                    </w:rPr>
                    <w:t>发电机功率因数</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eastAsia"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-0.95～0.95 可调</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eastAsia" w:cs="Times New Roman"/>
                      <w:b/>
                      <w:snapToGrid w:val="0"/>
                      <w:color w:val="auto"/>
                      <w:kern w:val="0"/>
                      <w:sz w:val="21"/>
                      <w:szCs w:val="21"/>
                      <w:lang w:val="en-US" w:eastAsia="zh-CN"/>
                    </w:rPr>
                  </w:pPr>
                  <w:r>
                    <w:rPr>
                      <w:rFonts w:hint="eastAsia" w:cs="Times New Roman"/>
                      <w:b/>
                      <w:snapToGrid w:val="0"/>
                      <w:color w:val="auto"/>
                      <w:kern w:val="0"/>
                      <w:sz w:val="21"/>
                      <w:szCs w:val="21"/>
                      <w:lang w:val="en-US" w:eastAsia="zh-CN"/>
                    </w:rPr>
                    <w:t>额定电压</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V</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1140</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eastAsia" w:cs="Times New Roman"/>
                      <w:b/>
                      <w:snapToGrid w:val="0"/>
                      <w:color w:val="auto"/>
                      <w:kern w:val="0"/>
                      <w:sz w:val="21"/>
                      <w:szCs w:val="21"/>
                      <w:lang w:val="en-US" w:eastAsia="zh-CN"/>
                    </w:rPr>
                    <w:t>箱式变压器</w:t>
                  </w: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eastAsia" w:cs="Times New Roman"/>
                      <w:b/>
                      <w:snapToGrid w:val="0"/>
                      <w:color w:val="auto"/>
                      <w:kern w:val="0"/>
                      <w:sz w:val="21"/>
                      <w:szCs w:val="21"/>
                      <w:lang w:val="en-US" w:eastAsia="zh-CN"/>
                    </w:rPr>
                    <w:t>数量</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台</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150</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99"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575"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cs="Times New Roman"/>
                      <w:b/>
                      <w:snapToGrid w:val="0"/>
                      <w:color w:val="auto"/>
                      <w:kern w:val="0"/>
                      <w:sz w:val="21"/>
                      <w:szCs w:val="21"/>
                      <w:lang w:val="en-US" w:eastAsia="zh-CN"/>
                    </w:rPr>
                  </w:pPr>
                </w:p>
              </w:tc>
              <w:tc>
                <w:tcPr>
                  <w:tcW w:w="2125"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eastAsia" w:cs="Times New Roman"/>
                      <w:b/>
                      <w:snapToGrid w:val="0"/>
                      <w:color w:val="auto"/>
                      <w:kern w:val="0"/>
                      <w:sz w:val="21"/>
                      <w:szCs w:val="21"/>
                      <w:lang w:val="en-US" w:eastAsia="zh-CN"/>
                    </w:rPr>
                    <w:t>容量</w:t>
                  </w:r>
                </w:p>
              </w:tc>
              <w:tc>
                <w:tcPr>
                  <w:tcW w:w="7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kVA</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7900</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土</w:t>
                  </w:r>
                </w:p>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建</w:t>
                  </w:r>
                </w:p>
              </w:tc>
              <w:tc>
                <w:tcPr>
                  <w:tcW w:w="974" w:type="dxa"/>
                  <w:gridSpan w:val="2"/>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风机</w:t>
                  </w:r>
                </w:p>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基础</w:t>
                  </w:r>
                </w:p>
              </w:tc>
              <w:tc>
                <w:tcPr>
                  <w:tcW w:w="2125" w:type="dxa"/>
                  <w:tcBorders>
                    <w:righ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台  数</w:t>
                  </w:r>
                </w:p>
              </w:tc>
              <w:tc>
                <w:tcPr>
                  <w:tcW w:w="781" w:type="dxa"/>
                  <w:tcBorders>
                    <w:lef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台</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150</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974" w:type="dxa"/>
                  <w:gridSpan w:val="2"/>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righ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型  式</w:t>
                  </w:r>
                </w:p>
              </w:tc>
              <w:tc>
                <w:tcPr>
                  <w:tcW w:w="781" w:type="dxa"/>
                  <w:tcBorders>
                    <w:lef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圆柱形</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974" w:type="dxa"/>
                  <w:gridSpan w:val="2"/>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righ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地基特性</w:t>
                  </w:r>
                </w:p>
              </w:tc>
              <w:tc>
                <w:tcPr>
                  <w:tcW w:w="781" w:type="dxa"/>
                  <w:tcBorders>
                    <w:lef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桩基础</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974" w:type="dxa"/>
                  <w:gridSpan w:val="2"/>
                  <w:vMerge w:val="restar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箱变</w:t>
                  </w:r>
                </w:p>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基础</w:t>
                  </w:r>
                </w:p>
              </w:tc>
              <w:tc>
                <w:tcPr>
                  <w:tcW w:w="2125" w:type="dxa"/>
                  <w:tcBorders>
                    <w:righ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台  数</w:t>
                  </w:r>
                </w:p>
              </w:tc>
              <w:tc>
                <w:tcPr>
                  <w:tcW w:w="781" w:type="dxa"/>
                  <w:tcBorders>
                    <w:lef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台</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150</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42" w:hRule="atLeast"/>
              </w:trPr>
              <w:tc>
                <w:tcPr>
                  <w:tcW w:w="371" w:type="dxa"/>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974" w:type="dxa"/>
                  <w:gridSpan w:val="2"/>
                  <w:vMerge w:val="continue"/>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125" w:type="dxa"/>
                  <w:tcBorders>
                    <w:righ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型  式</w:t>
                  </w:r>
                </w:p>
              </w:tc>
              <w:tc>
                <w:tcPr>
                  <w:tcW w:w="781" w:type="dxa"/>
                  <w:tcBorders>
                    <w:left w:val="single" w:color="auto" w:sz="4" w:space="0"/>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c>
                <w:tcPr>
                  <w:tcW w:w="3281"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cs="Times New Roman"/>
                      <w:b w:val="0"/>
                      <w:bCs/>
                      <w:snapToGrid w:val="0"/>
                      <w:color w:val="auto"/>
                      <w:kern w:val="0"/>
                      <w:sz w:val="21"/>
                      <w:szCs w:val="21"/>
                      <w:lang w:val="en-US" w:eastAsia="zh-CN"/>
                    </w:rPr>
                    <w:t>天然地基基础</w:t>
                  </w:r>
                </w:p>
              </w:tc>
              <w:tc>
                <w:tcPr>
                  <w:tcW w:w="606" w:type="dxa"/>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autoSpaceDE w:val="0"/>
                    <w:autoSpaceDN w:val="0"/>
                    <w:bidi w:val="0"/>
                    <w:adjustRightInd w:val="0"/>
                    <w:snapToGrid w:val="0"/>
                    <w:spacing w:before="20" w:after="2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w:t>
                  </w:r>
                </w:p>
              </w:tc>
            </w:tr>
          </w:tbl>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2" w:firstLineChars="20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5.项目占地情况</w:t>
            </w:r>
          </w:p>
          <w:p>
            <w:pPr>
              <w:pStyle w:val="49"/>
              <w:bidi w:val="0"/>
              <w:rPr>
                <w:rFonts w:hint="default" w:ascii="Times New Roman" w:hAnsi="Times New Roman" w:cs="Times New Roman"/>
                <w:color w:val="auto"/>
                <w:lang w:val="en-US" w:eastAsia="zh-CN"/>
              </w:rPr>
            </w:pPr>
            <w:r>
              <w:rPr>
                <w:rFonts w:hint="eastAsia" w:cs="Times New Roman"/>
                <w:color w:val="auto"/>
                <w:lang w:val="en-US" w:eastAsia="zh-CN"/>
              </w:rPr>
              <w:t>本项目占地包括永久占地和临时占地，</w:t>
            </w:r>
            <w:r>
              <w:rPr>
                <w:rFonts w:hint="default" w:ascii="Times New Roman" w:hAnsi="Times New Roman" w:cs="Times New Roman"/>
                <w:color w:val="auto"/>
                <w:lang w:val="en-US" w:eastAsia="zh-CN"/>
              </w:rPr>
              <w:t>本项目</w:t>
            </w:r>
            <w:r>
              <w:rPr>
                <w:rFonts w:hint="default" w:ascii="Times New Roman" w:hAnsi="Times New Roman" w:cs="Times New Roman"/>
                <w:color w:val="auto"/>
                <w:highlight w:val="none"/>
                <w:lang w:val="en-US" w:eastAsia="zh-CN"/>
              </w:rPr>
              <w:t>总占地面积</w:t>
            </w:r>
            <w:r>
              <w:rPr>
                <w:rFonts w:hint="eastAsia" w:cs="Times New Roman"/>
                <w:color w:val="auto"/>
                <w:highlight w:val="none"/>
                <w:lang w:val="en-US" w:eastAsia="zh-CN"/>
              </w:rPr>
              <w:t>2177765</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，其中永久占地</w:t>
            </w:r>
            <w:r>
              <w:rPr>
                <w:rFonts w:hint="eastAsia" w:cs="Times New Roman"/>
                <w:color w:val="auto"/>
                <w:highlight w:val="none"/>
                <w:lang w:val="en-US" w:eastAsia="zh-CN"/>
              </w:rPr>
              <w:t>80850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，临时占地</w:t>
            </w:r>
            <w:r>
              <w:rPr>
                <w:rFonts w:hint="eastAsia" w:ascii="Times New Roman" w:hAnsi="Times New Roman" w:cs="Times New Roman"/>
                <w:color w:val="auto"/>
                <w:highlight w:val="none"/>
                <w:lang w:val="en-US" w:eastAsia="zh-CN"/>
              </w:rPr>
              <w:t>2096915</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lang w:val="en-US" w:eastAsia="zh-CN"/>
              </w:rPr>
              <w:t>根据土地利用现状分类标准(GB/T21010-2017)对项目区土地类型进行分类，施工结束后根据项目区占地类型全部进行恢复。项目具体占地情况详见表</w:t>
            </w:r>
            <w:r>
              <w:rPr>
                <w:rFonts w:hint="eastAsia" w:ascii="Times New Roman" w:hAnsi="Times New Roman" w:cs="Times New Roman"/>
                <w:color w:val="auto"/>
                <w:lang w:val="en-US" w:eastAsia="zh-CN"/>
              </w:rPr>
              <w:t>10</w:t>
            </w:r>
            <w:r>
              <w:rPr>
                <w:rFonts w:hint="default" w:ascii="Times New Roman" w:hAnsi="Times New Roman" w:cs="Times New Roman"/>
                <w:color w:val="auto"/>
                <w:lang w:val="en-US" w:eastAsia="zh-CN"/>
              </w:rPr>
              <w:t>。</w:t>
            </w:r>
          </w:p>
          <w:p>
            <w:pPr>
              <w:pStyle w:val="48"/>
              <w:keepNext w:val="0"/>
              <w:keepLines w:val="0"/>
              <w:pageBreakBefore w:val="0"/>
              <w:widowControl w:val="0"/>
              <w:kinsoku/>
              <w:wordWrap/>
              <w:topLinePunct w:val="0"/>
              <w:autoSpaceDE/>
              <w:autoSpaceDN/>
              <w:bidi w:val="0"/>
              <w:adjustRightInd w:val="0"/>
              <w:snapToGrid w:val="0"/>
              <w:spacing w:before="0" w:beforeLines="0" w:after="0" w:afterLines="0" w:line="240" w:lineRule="auto"/>
              <w:ind w:firstLine="482"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表</w:t>
            </w:r>
            <w:r>
              <w:rPr>
                <w:rFonts w:hint="eastAsia" w:ascii="Times New Roman" w:hAnsi="Times New Roman" w:eastAsia="宋体" w:cs="Times New Roman"/>
                <w:color w:val="auto"/>
                <w:lang w:val="en-US" w:eastAsia="zh-CN"/>
              </w:rPr>
              <w:t>10</w:t>
            </w:r>
            <w:r>
              <w:rPr>
                <w:rFonts w:hint="default" w:ascii="Times New Roman" w:hAnsi="Times New Roman" w:eastAsia="宋体" w:cs="Times New Roman"/>
                <w:color w:val="auto"/>
                <w:lang w:val="en-US" w:eastAsia="zh-CN"/>
              </w:rPr>
              <w:t xml:space="preserve">                 项目占地情况一览表               </w:t>
            </w:r>
          </w:p>
          <w:tbl>
            <w:tblPr>
              <w:tblStyle w:val="28"/>
              <w:tblW w:w="8064" w:type="dxa"/>
              <w:tblInd w:w="-72"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531"/>
              <w:gridCol w:w="870"/>
              <w:gridCol w:w="2776"/>
              <w:gridCol w:w="18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531" w:type="dxa"/>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项目</w:t>
                  </w:r>
                </w:p>
              </w:tc>
              <w:tc>
                <w:tcPr>
                  <w:tcW w:w="870" w:type="dxa"/>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单位</w:t>
                  </w:r>
                </w:p>
              </w:tc>
              <w:tc>
                <w:tcPr>
                  <w:tcW w:w="2776" w:type="dxa"/>
                  <w:tcBorders>
                    <w:righ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面积</w:t>
                  </w:r>
                </w:p>
              </w:tc>
              <w:tc>
                <w:tcPr>
                  <w:tcW w:w="1887" w:type="dxa"/>
                  <w:tcBorders>
                    <w:lef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eastAsia" w:cs="Times New Roman"/>
                      <w:b/>
                      <w:snapToGrid w:val="0"/>
                      <w:color w:val="auto"/>
                      <w:kern w:val="0"/>
                      <w:sz w:val="21"/>
                      <w:szCs w:val="21"/>
                      <w:highlight w:val="none"/>
                      <w:lang w:val="en-US" w:eastAsia="zh-CN"/>
                    </w:rPr>
                    <w:t>占地类型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531" w:type="dxa"/>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一、永久性占地</w:t>
                  </w:r>
                </w:p>
              </w:tc>
              <w:tc>
                <w:tcPr>
                  <w:tcW w:w="870" w:type="dxa"/>
                  <w:vMerge w:val="restart"/>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both"/>
                    <w:textAlignment w:val="bottom"/>
                    <w:rPr>
                      <w:rFonts w:hint="default" w:ascii="Times New Roman" w:hAnsi="Times New Roman" w:eastAsia="宋体" w:cs="Times New Roman"/>
                      <w:b w:val="0"/>
                      <w:bCs/>
                      <w:snapToGrid w:val="0"/>
                      <w:color w:val="auto"/>
                      <w:kern w:val="0"/>
                      <w:sz w:val="21"/>
                      <w:szCs w:val="21"/>
                      <w:lang w:val="en-US" w:eastAsia="zh-CN"/>
                    </w:rPr>
                  </w:pPr>
                </w:p>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lang w:val="en-US" w:eastAsia="zh-CN"/>
                    </w:rPr>
                    <w:t>m</w:t>
                  </w:r>
                  <w:r>
                    <w:rPr>
                      <w:rFonts w:hint="default" w:ascii="Times New Roman" w:hAnsi="Times New Roman" w:eastAsia="宋体" w:cs="Times New Roman"/>
                      <w:b w:val="0"/>
                      <w:bCs/>
                      <w:snapToGrid w:val="0"/>
                      <w:color w:val="auto"/>
                      <w:kern w:val="0"/>
                      <w:sz w:val="21"/>
                      <w:szCs w:val="21"/>
                      <w:vertAlign w:val="superscript"/>
                      <w:lang w:val="en-US" w:eastAsia="zh-CN"/>
                    </w:rPr>
                    <w:t>2</w:t>
                  </w:r>
                </w:p>
              </w:tc>
              <w:tc>
                <w:tcPr>
                  <w:tcW w:w="2776" w:type="dxa"/>
                  <w:tcBorders>
                    <w:righ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eastAsia" w:cs="Times New Roman"/>
                      <w:b/>
                      <w:snapToGrid w:val="0"/>
                      <w:color w:val="auto"/>
                      <w:kern w:val="0"/>
                      <w:sz w:val="21"/>
                      <w:szCs w:val="21"/>
                      <w:lang w:val="en-US" w:eastAsia="zh-CN"/>
                    </w:rPr>
                    <w:t>80850</w:t>
                  </w:r>
                </w:p>
              </w:tc>
              <w:tc>
                <w:tcPr>
                  <w:tcW w:w="1887" w:type="dxa"/>
                  <w:vMerge w:val="restart"/>
                  <w:tcBorders>
                    <w:lef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eastAsia" w:cs="Times New Roman"/>
                      <w:b w:val="0"/>
                      <w:bCs/>
                      <w:snapToGrid w:val="0"/>
                      <w:color w:val="auto"/>
                      <w:kern w:val="0"/>
                      <w:sz w:val="21"/>
                      <w:szCs w:val="21"/>
                      <w:lang w:val="en-US" w:eastAsia="zh-CN"/>
                    </w:rPr>
                    <w:t>农用地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2531" w:type="dxa"/>
                  <w:tcBorders>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风机基础</w:t>
                  </w:r>
                </w:p>
              </w:tc>
              <w:tc>
                <w:tcPr>
                  <w:tcW w:w="870" w:type="dxa"/>
                  <w:vMerge w:val="continue"/>
                  <w:tcBorders>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yellow"/>
                      <w:lang w:val="en-US" w:eastAsia="zh-CN"/>
                    </w:rPr>
                  </w:pPr>
                </w:p>
              </w:tc>
              <w:tc>
                <w:tcPr>
                  <w:tcW w:w="2776" w:type="dxa"/>
                  <w:tcBorders>
                    <w:righ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ascii="Times New Roman" w:hAnsi="Times New Roman" w:eastAsia="宋体" w:cs="Times New Roman"/>
                      <w:b w:val="0"/>
                      <w:bCs/>
                      <w:snapToGrid w:val="0"/>
                      <w:color w:val="auto"/>
                      <w:kern w:val="0"/>
                      <w:sz w:val="21"/>
                      <w:szCs w:val="21"/>
                      <w:lang w:val="en-US" w:eastAsia="zh-CN"/>
                    </w:rPr>
                    <w:t>74850</w:t>
                  </w:r>
                </w:p>
              </w:tc>
              <w:tc>
                <w:tcPr>
                  <w:tcW w:w="1887" w:type="dxa"/>
                  <w:vMerge w:val="continue"/>
                  <w:tcBorders>
                    <w:lef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531" w:type="dxa"/>
                  <w:tcBorders>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default" w:ascii="Times New Roman" w:hAnsi="Times New Roman" w:eastAsia="宋体" w:cs="Times New Roman"/>
                      <w:b w:val="0"/>
                      <w:bCs/>
                      <w:snapToGrid w:val="0"/>
                      <w:color w:val="auto"/>
                      <w:kern w:val="0"/>
                      <w:sz w:val="21"/>
                      <w:szCs w:val="21"/>
                      <w:lang w:val="en-US" w:eastAsia="zh-CN"/>
                    </w:rPr>
                    <w:t>箱变基础</w:t>
                  </w:r>
                </w:p>
              </w:tc>
              <w:tc>
                <w:tcPr>
                  <w:tcW w:w="870" w:type="dxa"/>
                  <w:vMerge w:val="continue"/>
                  <w:tcBorders>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p>
              </w:tc>
              <w:tc>
                <w:tcPr>
                  <w:tcW w:w="2776" w:type="dxa"/>
                  <w:tcBorders>
                    <w:righ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lang w:val="en-US" w:eastAsia="zh-CN"/>
                    </w:rPr>
                  </w:pPr>
                  <w:r>
                    <w:rPr>
                      <w:rFonts w:hint="eastAsia" w:ascii="Times New Roman" w:hAnsi="Times New Roman" w:eastAsia="宋体" w:cs="Times New Roman"/>
                      <w:b w:val="0"/>
                      <w:bCs/>
                      <w:snapToGrid w:val="0"/>
                      <w:color w:val="auto"/>
                      <w:kern w:val="0"/>
                      <w:sz w:val="21"/>
                      <w:szCs w:val="21"/>
                      <w:lang w:val="en-US" w:eastAsia="zh-CN"/>
                    </w:rPr>
                    <w:t>6</w:t>
                  </w:r>
                  <w:r>
                    <w:rPr>
                      <w:rFonts w:hint="eastAsia" w:cs="Times New Roman"/>
                      <w:b w:val="0"/>
                      <w:bCs/>
                      <w:snapToGrid w:val="0"/>
                      <w:color w:val="auto"/>
                      <w:kern w:val="0"/>
                      <w:sz w:val="21"/>
                      <w:szCs w:val="21"/>
                      <w:lang w:val="en-US" w:eastAsia="zh-CN"/>
                    </w:rPr>
                    <w:t>000</w:t>
                  </w:r>
                </w:p>
              </w:tc>
              <w:tc>
                <w:tcPr>
                  <w:tcW w:w="1887" w:type="dxa"/>
                  <w:vMerge w:val="continue"/>
                  <w:tcBorders>
                    <w:lef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ascii="Times New Roman" w:hAnsi="Times New Roman" w:eastAsia="宋体" w:cs="Times New Roman"/>
                      <w:b w:val="0"/>
                      <w:bCs/>
                      <w:snapToGrid w:val="0"/>
                      <w:color w:val="auto"/>
                      <w:kern w:val="0"/>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2531" w:type="dxa"/>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二、临时性占地</w:t>
                  </w:r>
                </w:p>
              </w:tc>
              <w:tc>
                <w:tcPr>
                  <w:tcW w:w="870" w:type="dxa"/>
                  <w:vMerge w:val="continue"/>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p>
              </w:tc>
              <w:tc>
                <w:tcPr>
                  <w:tcW w:w="2776" w:type="dxa"/>
                  <w:tcBorders>
                    <w:righ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default" w:ascii="Times New Roman" w:hAnsi="Times New Roman" w:eastAsia="宋体" w:cs="Times New Roman"/>
                      <w:b/>
                      <w:snapToGrid w:val="0"/>
                      <w:color w:val="auto"/>
                      <w:kern w:val="0"/>
                      <w:sz w:val="21"/>
                      <w:szCs w:val="21"/>
                      <w:lang w:val="en-US" w:eastAsia="zh-CN"/>
                    </w:rPr>
                    <w:t>2096915</w:t>
                  </w:r>
                </w:p>
              </w:tc>
              <w:tc>
                <w:tcPr>
                  <w:tcW w:w="1887" w:type="dxa"/>
                  <w:vMerge w:val="restart"/>
                  <w:tcBorders>
                    <w:lef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lang w:val="en-US" w:eastAsia="zh-CN"/>
                    </w:rPr>
                  </w:pPr>
                  <w:r>
                    <w:rPr>
                      <w:rFonts w:hint="eastAsia" w:cs="Times New Roman"/>
                      <w:b w:val="0"/>
                      <w:bCs/>
                      <w:snapToGrid w:val="0"/>
                      <w:color w:val="auto"/>
                      <w:kern w:val="0"/>
                      <w:sz w:val="21"/>
                      <w:szCs w:val="21"/>
                      <w:lang w:val="en-US" w:eastAsia="zh-CN"/>
                    </w:rPr>
                    <w:t>林地、草地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531" w:type="dxa"/>
                  <w:tcBorders>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风机</w:t>
                  </w:r>
                  <w:r>
                    <w:rPr>
                      <w:rFonts w:hint="default" w:ascii="Times New Roman" w:hAnsi="Times New Roman" w:eastAsia="宋体" w:cs="Times New Roman"/>
                      <w:b w:val="0"/>
                      <w:bCs/>
                      <w:snapToGrid w:val="0"/>
                      <w:color w:val="auto"/>
                      <w:kern w:val="0"/>
                      <w:sz w:val="21"/>
                      <w:szCs w:val="21"/>
                      <w:highlight w:val="none"/>
                      <w:lang w:val="en-US" w:eastAsia="zh-CN"/>
                    </w:rPr>
                    <w:t>吊装用地</w:t>
                  </w:r>
                </w:p>
              </w:tc>
              <w:tc>
                <w:tcPr>
                  <w:tcW w:w="870" w:type="dxa"/>
                  <w:vMerge w:val="continue"/>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c>
                <w:tcPr>
                  <w:tcW w:w="2776" w:type="dxa"/>
                  <w:tcBorders>
                    <w:righ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1419150</w:t>
                  </w:r>
                </w:p>
              </w:tc>
              <w:tc>
                <w:tcPr>
                  <w:tcW w:w="1887" w:type="dxa"/>
                  <w:vMerge w:val="continue"/>
                  <w:tcBorders>
                    <w:lef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ascii="Times New Roman" w:hAnsi="Times New Roman" w:eastAsia="宋体" w:cs="Times New Roman"/>
                      <w:b w:val="0"/>
                      <w:bCs/>
                      <w:snapToGrid w:val="0"/>
                      <w:color w:val="auto"/>
                      <w:kern w:val="0"/>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531" w:type="dxa"/>
                  <w:tcBorders>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施工临建设施</w:t>
                  </w:r>
                </w:p>
              </w:tc>
              <w:tc>
                <w:tcPr>
                  <w:tcW w:w="870" w:type="dxa"/>
                  <w:vMerge w:val="continue"/>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c>
                <w:tcPr>
                  <w:tcW w:w="2776" w:type="dxa"/>
                  <w:tcBorders>
                    <w:righ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60000</w:t>
                  </w:r>
                </w:p>
              </w:tc>
              <w:tc>
                <w:tcPr>
                  <w:tcW w:w="1887" w:type="dxa"/>
                  <w:vMerge w:val="continue"/>
                  <w:tcBorders>
                    <w:lef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cs="Times New Roman"/>
                      <w:b w:val="0"/>
                      <w:bCs/>
                      <w:snapToGrid w:val="0"/>
                      <w:color w:val="auto"/>
                      <w:kern w:val="0"/>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31" w:type="dxa"/>
                  <w:tcBorders>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施工</w:t>
                  </w:r>
                  <w:r>
                    <w:rPr>
                      <w:rFonts w:hint="eastAsia" w:ascii="Times New Roman" w:hAnsi="Times New Roman" w:eastAsia="宋体" w:cs="Times New Roman"/>
                      <w:b w:val="0"/>
                      <w:bCs/>
                      <w:snapToGrid w:val="0"/>
                      <w:color w:val="auto"/>
                      <w:kern w:val="0"/>
                      <w:sz w:val="21"/>
                      <w:szCs w:val="21"/>
                      <w:highlight w:val="none"/>
                      <w:lang w:val="en-US" w:eastAsia="zh-CN"/>
                    </w:rPr>
                    <w:t>道路</w:t>
                  </w:r>
                </w:p>
              </w:tc>
              <w:tc>
                <w:tcPr>
                  <w:tcW w:w="870" w:type="dxa"/>
                  <w:vMerge w:val="continue"/>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c>
                <w:tcPr>
                  <w:tcW w:w="2776" w:type="dxa"/>
                  <w:tcBorders>
                    <w:righ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ascii="Times New Roman" w:hAnsi="Times New Roman" w:eastAsia="宋体" w:cs="Times New Roman"/>
                      <w:b w:val="0"/>
                      <w:bCs/>
                      <w:snapToGrid w:val="0"/>
                      <w:color w:val="auto"/>
                      <w:kern w:val="0"/>
                      <w:sz w:val="21"/>
                      <w:szCs w:val="21"/>
                      <w:highlight w:val="none"/>
                      <w:lang w:val="en-US" w:eastAsia="zh-CN"/>
                    </w:rPr>
                    <w:t>195000</w:t>
                  </w:r>
                </w:p>
              </w:tc>
              <w:tc>
                <w:tcPr>
                  <w:tcW w:w="1887" w:type="dxa"/>
                  <w:vMerge w:val="continue"/>
                  <w:tcBorders>
                    <w:left w:val="single" w:color="auto" w:sz="4" w:space="0"/>
                    <w:tl2br w:val="nil"/>
                    <w:tr2bl w:val="nil"/>
                  </w:tcBorders>
                  <w:noWrap/>
                  <w:tcMar>
                    <w:top w:w="15" w:type="dxa"/>
                    <w:left w:w="15" w:type="dxa"/>
                    <w:right w:w="15" w:type="dxa"/>
                  </w:tcMar>
                  <w:vAlign w:val="top"/>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53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spacing w:line="240" w:lineRule="auto"/>
                    <w:jc w:val="center"/>
                    <w:textAlignment w:val="auto"/>
                    <w:rPr>
                      <w:rFonts w:hint="eastAsia" w:ascii="Times New Roman" w:hAnsi="Times New Roman" w:eastAsia="宋体" w:cs="Times New Roman"/>
                      <w:b w:val="0"/>
                      <w:bCs/>
                      <w:snapToGrid w:val="0"/>
                      <w:color w:val="auto"/>
                      <w:kern w:val="0"/>
                      <w:sz w:val="21"/>
                      <w:szCs w:val="21"/>
                      <w:highlight w:val="none"/>
                      <w:lang w:val="en-US" w:eastAsia="zh-CN"/>
                    </w:rPr>
                  </w:pPr>
                  <w:r>
                    <w:rPr>
                      <w:rFonts w:hint="eastAsia" w:ascii="Times New Roman" w:hAnsi="Times New Roman" w:cs="Times New Roman"/>
                      <w:color w:val="auto"/>
                      <w:sz w:val="21"/>
                      <w:szCs w:val="21"/>
                      <w:highlight w:val="none"/>
                      <w:lang w:val="en-US" w:eastAsia="zh-CN"/>
                    </w:rPr>
                    <w:t>弃土场</w:t>
                  </w:r>
                </w:p>
              </w:tc>
              <w:tc>
                <w:tcPr>
                  <w:tcW w:w="870" w:type="dxa"/>
                  <w:vMerge w:val="continue"/>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c>
                <w:tcPr>
                  <w:tcW w:w="2776" w:type="dxa"/>
                  <w:tcBorders>
                    <w:righ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377765</w:t>
                  </w:r>
                </w:p>
              </w:tc>
              <w:tc>
                <w:tcPr>
                  <w:tcW w:w="1887" w:type="dxa"/>
                  <w:vMerge w:val="continue"/>
                  <w:tcBorders>
                    <w:lef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ascii="Times New Roman" w:hAnsi="Times New Roman" w:eastAsia="宋体" w:cs="Times New Roman"/>
                      <w:b w:val="0"/>
                      <w:bCs/>
                      <w:snapToGrid w:val="0"/>
                      <w:color w:val="auto"/>
                      <w:kern w:val="0"/>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531" w:type="dxa"/>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topLinePunct w:val="0"/>
                    <w:autoSpaceDE/>
                    <w:autoSpaceDN/>
                    <w:bidi w:val="0"/>
                    <w:spacing w:line="240" w:lineRule="auto"/>
                    <w:jc w:val="center"/>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电缆沟</w:t>
                  </w:r>
                </w:p>
              </w:tc>
              <w:tc>
                <w:tcPr>
                  <w:tcW w:w="870" w:type="dxa"/>
                  <w:vMerge w:val="continue"/>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c>
                <w:tcPr>
                  <w:tcW w:w="2776" w:type="dxa"/>
                  <w:tcBorders>
                    <w:righ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45000</w:t>
                  </w:r>
                </w:p>
              </w:tc>
              <w:tc>
                <w:tcPr>
                  <w:tcW w:w="1887" w:type="dxa"/>
                  <w:vMerge w:val="continue"/>
                  <w:tcBorders>
                    <w:left w:val="single" w:color="auto" w:sz="4" w:space="0"/>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ascii="Times New Roman" w:hAnsi="Times New Roman" w:eastAsia="宋体" w:cs="Times New Roman"/>
                      <w:b w:val="0"/>
                      <w:bCs/>
                      <w:snapToGrid w:val="0"/>
                      <w:color w:val="auto"/>
                      <w:kern w:val="0"/>
                      <w:sz w:val="21"/>
                      <w:szCs w:val="21"/>
                      <w:highlight w:val="none"/>
                      <w:lang w:val="en-US" w:eastAsia="zh-CN"/>
                    </w:rPr>
                  </w:pPr>
                </w:p>
              </w:tc>
            </w:tr>
          </w:tbl>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2" w:firstLineChars="200"/>
              <w:rPr>
                <w:rFonts w:hint="eastAsia"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6.</w:t>
            </w:r>
            <w:r>
              <w:rPr>
                <w:rFonts w:hint="eastAsia" w:ascii="Times New Roman" w:hAnsi="Times New Roman" w:eastAsia="仿宋" w:cs="Times New Roman"/>
                <w:color w:val="auto"/>
                <w:lang w:val="en-US" w:eastAsia="zh-CN"/>
              </w:rPr>
              <w:t>土石方平衡</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本项目在建设期开挖土方总量</w:t>
            </w:r>
            <w:r>
              <w:rPr>
                <w:rFonts w:hint="default" w:ascii="Times New Roman" w:hAnsi="Times New Roman" w:cs="Times New Roman"/>
                <w:color w:val="auto"/>
                <w:highlight w:val="none"/>
                <w:lang w:val="en-US" w:eastAsia="zh-CN"/>
              </w:rPr>
              <w:t>为2459800m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，回填土方2340100m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lang w:val="en-US" w:eastAsia="zh-CN"/>
              </w:rPr>
              <w:t>，</w:t>
            </w:r>
            <w:r>
              <w:rPr>
                <w:rFonts w:hint="default" w:ascii="Times New Roman" w:hAnsi="Times New Roman" w:cs="Times New Roman"/>
                <w:color w:val="auto"/>
                <w:highlight w:val="none"/>
                <w:lang w:val="en-US" w:eastAsia="zh-CN"/>
              </w:rPr>
              <w:t>弃土石方</w:t>
            </w:r>
            <w:r>
              <w:rPr>
                <w:rFonts w:hint="eastAsia" w:cs="Times New Roman"/>
                <w:color w:val="auto"/>
                <w:highlight w:val="none"/>
                <w:lang w:val="en-US" w:eastAsia="zh-CN"/>
              </w:rPr>
              <w:t>119700m</w:t>
            </w:r>
            <w:r>
              <w:rPr>
                <w:rFonts w:hint="eastAsia" w:cs="Times New Roman"/>
                <w:color w:val="auto"/>
                <w:highlight w:val="none"/>
                <w:vertAlign w:val="superscript"/>
                <w:lang w:val="en-US" w:eastAsia="zh-CN"/>
              </w:rPr>
              <w:t>3</w:t>
            </w:r>
            <w:r>
              <w:rPr>
                <w:rFonts w:hint="default" w:ascii="Times New Roman" w:hAnsi="Times New Roman" w:cs="Times New Roman"/>
                <w:color w:val="auto"/>
                <w:lang w:val="en-US" w:eastAsia="zh-CN"/>
              </w:rPr>
              <w:t>。项目各单元工程挖、填的土石方情况见表</w:t>
            </w:r>
            <w:r>
              <w:rPr>
                <w:rFonts w:hint="eastAsia" w:cs="Times New Roman"/>
                <w:color w:val="auto"/>
                <w:lang w:val="en-US" w:eastAsia="zh-CN"/>
              </w:rPr>
              <w:t>12</w:t>
            </w:r>
            <w:r>
              <w:rPr>
                <w:rFonts w:hint="default" w:ascii="Times New Roman" w:hAnsi="Times New Roman" w:cs="Times New Roman"/>
                <w:color w:val="auto"/>
                <w:lang w:val="en-US" w:eastAsia="zh-CN"/>
              </w:rPr>
              <w:t>。</w:t>
            </w:r>
          </w:p>
          <w:p>
            <w:pPr>
              <w:pStyle w:val="48"/>
              <w:keepNext w:val="0"/>
              <w:keepLines w:val="0"/>
              <w:pageBreakBefore w:val="0"/>
              <w:widowControl w:val="0"/>
              <w:kinsoku/>
              <w:wordWrap/>
              <w:overflowPunct/>
              <w:topLinePunct w:val="0"/>
              <w:autoSpaceDE/>
              <w:autoSpaceDN/>
              <w:bidi w:val="0"/>
              <w:adjustRightInd w:val="0"/>
              <w:snapToGrid w:val="0"/>
              <w:spacing w:before="0" w:beforeLines="0" w:after="0" w:afterLines="0"/>
              <w:ind w:firstLine="482" w:firstLineChars="200"/>
              <w:textAlignment w:val="baseline"/>
              <w:rPr>
                <w:rFonts w:hint="default" w:ascii="Times New Roman" w:hAnsi="Times New Roman" w:eastAsia="宋体" w:cs="Times New Roman"/>
                <w:color w:val="auto"/>
                <w:vertAlign w:val="superscript"/>
                <w:lang w:val="en-US" w:eastAsia="zh-CN"/>
              </w:rPr>
            </w:pPr>
            <w:r>
              <w:rPr>
                <w:rFonts w:hint="default" w:ascii="Times New Roman" w:hAnsi="Times New Roman" w:eastAsia="宋体" w:cs="Times New Roman"/>
                <w:color w:val="auto"/>
                <w:lang w:val="en-US" w:eastAsia="zh-CN"/>
              </w:rPr>
              <w:t>表2-8                项目土石方平衡表                单位：m</w:t>
            </w:r>
            <w:r>
              <w:rPr>
                <w:rFonts w:hint="default" w:ascii="Times New Roman" w:hAnsi="Times New Roman" w:eastAsia="宋体" w:cs="Times New Roman"/>
                <w:color w:val="auto"/>
                <w:vertAlign w:val="superscript"/>
                <w:lang w:val="en-US" w:eastAsia="zh-CN"/>
              </w:rPr>
              <w:t>3</w:t>
            </w:r>
          </w:p>
          <w:tbl>
            <w:tblPr>
              <w:tblStyle w:val="28"/>
              <w:tblW w:w="8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968"/>
              <w:gridCol w:w="982"/>
              <w:gridCol w:w="723"/>
              <w:gridCol w:w="1091"/>
              <w:gridCol w:w="1172"/>
              <w:gridCol w:w="1023"/>
              <w:gridCol w:w="1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restart"/>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r>
                    <w:rPr>
                      <w:rFonts w:hint="default" w:ascii="Times New Roman" w:hAnsi="Times New Roman" w:eastAsia="宋体" w:cs="Times New Roman"/>
                      <w:b/>
                      <w:snapToGrid w:val="0"/>
                      <w:color w:val="auto"/>
                      <w:kern w:val="0"/>
                      <w:sz w:val="21"/>
                      <w:szCs w:val="21"/>
                      <w:highlight w:val="none"/>
                      <w:lang w:val="en-US" w:eastAsia="zh-CN"/>
                    </w:rPr>
                    <w:t>项目组成</w:t>
                  </w:r>
                </w:p>
              </w:tc>
              <w:tc>
                <w:tcPr>
                  <w:tcW w:w="968" w:type="dxa"/>
                  <w:vMerge w:val="restart"/>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r>
                    <w:rPr>
                      <w:rFonts w:hint="default" w:ascii="Times New Roman" w:hAnsi="Times New Roman" w:eastAsia="宋体" w:cs="Times New Roman"/>
                      <w:b/>
                      <w:snapToGrid w:val="0"/>
                      <w:color w:val="auto"/>
                      <w:kern w:val="0"/>
                      <w:sz w:val="21"/>
                      <w:szCs w:val="21"/>
                      <w:highlight w:val="none"/>
                      <w:lang w:val="en-US" w:eastAsia="zh-CN"/>
                    </w:rPr>
                    <w:t>土石方开挖量</w:t>
                  </w:r>
                </w:p>
              </w:tc>
              <w:tc>
                <w:tcPr>
                  <w:tcW w:w="982" w:type="dxa"/>
                  <w:vMerge w:val="restart"/>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r>
                    <w:rPr>
                      <w:rFonts w:hint="default" w:ascii="Times New Roman" w:hAnsi="Times New Roman" w:eastAsia="宋体" w:cs="Times New Roman"/>
                      <w:b/>
                      <w:snapToGrid w:val="0"/>
                      <w:color w:val="auto"/>
                      <w:kern w:val="0"/>
                      <w:sz w:val="21"/>
                      <w:szCs w:val="21"/>
                      <w:highlight w:val="none"/>
                      <w:lang w:val="en-US" w:eastAsia="zh-CN"/>
                    </w:rPr>
                    <w:t>土石方回填量</w:t>
                  </w:r>
                </w:p>
              </w:tc>
              <w:tc>
                <w:tcPr>
                  <w:tcW w:w="2986" w:type="dxa"/>
                  <w:gridSpan w:val="3"/>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r>
                    <w:rPr>
                      <w:rFonts w:hint="default" w:ascii="Times New Roman" w:hAnsi="Times New Roman" w:eastAsia="宋体" w:cs="Times New Roman"/>
                      <w:b/>
                      <w:snapToGrid w:val="0"/>
                      <w:color w:val="auto"/>
                      <w:kern w:val="0"/>
                      <w:sz w:val="21"/>
                      <w:szCs w:val="21"/>
                      <w:highlight w:val="none"/>
                      <w:lang w:val="en-US" w:eastAsia="zh-CN"/>
                    </w:rPr>
                    <w:t>直接调运方</w:t>
                  </w:r>
                </w:p>
              </w:tc>
              <w:tc>
                <w:tcPr>
                  <w:tcW w:w="1023" w:type="dxa"/>
                  <w:vMerge w:val="restart"/>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r>
                    <w:rPr>
                      <w:rFonts w:hint="default" w:ascii="Times New Roman" w:hAnsi="Times New Roman" w:eastAsia="宋体" w:cs="Times New Roman"/>
                      <w:b/>
                      <w:snapToGrid w:val="0"/>
                      <w:color w:val="auto"/>
                      <w:kern w:val="0"/>
                      <w:sz w:val="21"/>
                      <w:szCs w:val="21"/>
                      <w:highlight w:val="none"/>
                      <w:lang w:val="en-US" w:eastAsia="zh-CN"/>
                    </w:rPr>
                    <w:t>弃方</w:t>
                  </w:r>
                </w:p>
              </w:tc>
              <w:tc>
                <w:tcPr>
                  <w:tcW w:w="1016" w:type="dxa"/>
                  <w:vMerge w:val="restart"/>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r>
                    <w:rPr>
                      <w:rFonts w:hint="eastAsia" w:cs="Times New Roman"/>
                      <w:b/>
                      <w:snapToGrid w:val="0"/>
                      <w:color w:val="auto"/>
                      <w:kern w:val="0"/>
                      <w:sz w:val="21"/>
                      <w:szCs w:val="21"/>
                      <w:highlight w:val="none"/>
                      <w:lang w:val="en-US" w:eastAsia="zh-CN"/>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p>
              </w:tc>
              <w:tc>
                <w:tcPr>
                  <w:tcW w:w="968"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p>
              </w:tc>
              <w:tc>
                <w:tcPr>
                  <w:tcW w:w="982"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p>
              </w:tc>
              <w:tc>
                <w:tcPr>
                  <w:tcW w:w="7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r>
                    <w:rPr>
                      <w:rFonts w:hint="default" w:ascii="Times New Roman" w:hAnsi="Times New Roman" w:eastAsia="宋体" w:cs="Times New Roman"/>
                      <w:b/>
                      <w:snapToGrid w:val="0"/>
                      <w:color w:val="auto"/>
                      <w:kern w:val="0"/>
                      <w:sz w:val="21"/>
                      <w:szCs w:val="21"/>
                      <w:highlight w:val="none"/>
                      <w:lang w:val="en-US" w:eastAsia="zh-CN"/>
                    </w:rPr>
                    <w:t>调入</w:t>
                  </w:r>
                </w:p>
              </w:tc>
              <w:tc>
                <w:tcPr>
                  <w:tcW w:w="1091"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r>
                    <w:rPr>
                      <w:rFonts w:hint="default" w:ascii="Times New Roman" w:hAnsi="Times New Roman" w:eastAsia="宋体" w:cs="Times New Roman"/>
                      <w:b/>
                      <w:snapToGrid w:val="0"/>
                      <w:color w:val="auto"/>
                      <w:kern w:val="0"/>
                      <w:sz w:val="21"/>
                      <w:szCs w:val="21"/>
                      <w:highlight w:val="none"/>
                      <w:lang w:val="en-US" w:eastAsia="zh-CN"/>
                    </w:rPr>
                    <w:t>调出</w:t>
                  </w:r>
                </w:p>
              </w:tc>
              <w:tc>
                <w:tcPr>
                  <w:tcW w:w="117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r>
                    <w:rPr>
                      <w:rFonts w:hint="default" w:ascii="Times New Roman" w:hAnsi="Times New Roman" w:eastAsia="宋体" w:cs="Times New Roman"/>
                      <w:b/>
                      <w:snapToGrid w:val="0"/>
                      <w:color w:val="auto"/>
                      <w:kern w:val="0"/>
                      <w:sz w:val="21"/>
                      <w:szCs w:val="21"/>
                      <w:highlight w:val="none"/>
                      <w:lang w:val="en-US" w:eastAsia="zh-CN"/>
                    </w:rPr>
                    <w:t>利用土方</w:t>
                  </w:r>
                </w:p>
              </w:tc>
              <w:tc>
                <w:tcPr>
                  <w:tcW w:w="1023"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p>
              </w:tc>
              <w:tc>
                <w:tcPr>
                  <w:tcW w:w="1016"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snapToGrid w:val="0"/>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风机基础</w:t>
                  </w:r>
                </w:p>
              </w:tc>
              <w:tc>
                <w:tcPr>
                  <w:tcW w:w="968"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280000</w:t>
                  </w:r>
                </w:p>
              </w:tc>
              <w:tc>
                <w:tcPr>
                  <w:tcW w:w="98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168000</w:t>
                  </w:r>
                </w:p>
              </w:tc>
              <w:tc>
                <w:tcPr>
                  <w:tcW w:w="7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91"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112000</w:t>
                  </w:r>
                </w:p>
              </w:tc>
              <w:tc>
                <w:tcPr>
                  <w:tcW w:w="117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w:t>
                  </w:r>
                </w:p>
              </w:tc>
              <w:tc>
                <w:tcPr>
                  <w:tcW w:w="10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112000</w:t>
                  </w:r>
                </w:p>
              </w:tc>
              <w:tc>
                <w:tcPr>
                  <w:tcW w:w="1016" w:type="dxa"/>
                  <w:vMerge w:val="restart"/>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弃土场（可弃方20万方）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箱变基础</w:t>
                  </w:r>
                </w:p>
              </w:tc>
              <w:tc>
                <w:tcPr>
                  <w:tcW w:w="968"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11200</w:t>
                  </w:r>
                </w:p>
              </w:tc>
              <w:tc>
                <w:tcPr>
                  <w:tcW w:w="98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3500</w:t>
                  </w:r>
                </w:p>
              </w:tc>
              <w:tc>
                <w:tcPr>
                  <w:tcW w:w="7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91"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7700</w:t>
                  </w:r>
                </w:p>
              </w:tc>
              <w:tc>
                <w:tcPr>
                  <w:tcW w:w="117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w:t>
                  </w:r>
                </w:p>
              </w:tc>
              <w:tc>
                <w:tcPr>
                  <w:tcW w:w="10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7700</w:t>
                  </w:r>
                </w:p>
              </w:tc>
              <w:tc>
                <w:tcPr>
                  <w:tcW w:w="1016"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cs="Times New Roman"/>
                      <w:b w:val="0"/>
                      <w:bCs/>
                      <w:snapToGrid w:val="0"/>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道路</w:t>
                  </w:r>
                </w:p>
              </w:tc>
              <w:tc>
                <w:tcPr>
                  <w:tcW w:w="968"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1400000</w:t>
                  </w:r>
                </w:p>
              </w:tc>
              <w:tc>
                <w:tcPr>
                  <w:tcW w:w="98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1400000</w:t>
                  </w:r>
                </w:p>
              </w:tc>
              <w:tc>
                <w:tcPr>
                  <w:tcW w:w="7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91"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17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w:t>
                  </w:r>
                </w:p>
              </w:tc>
              <w:tc>
                <w:tcPr>
                  <w:tcW w:w="10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16"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yellow"/>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吊装平台</w:t>
                  </w:r>
                </w:p>
              </w:tc>
              <w:tc>
                <w:tcPr>
                  <w:tcW w:w="968"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700000</w:t>
                  </w:r>
                </w:p>
              </w:tc>
              <w:tc>
                <w:tcPr>
                  <w:tcW w:w="98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700000</w:t>
                  </w:r>
                </w:p>
              </w:tc>
              <w:tc>
                <w:tcPr>
                  <w:tcW w:w="7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91"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17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w:t>
                  </w:r>
                </w:p>
              </w:tc>
              <w:tc>
                <w:tcPr>
                  <w:tcW w:w="10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16"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yellow"/>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接地</w:t>
                  </w:r>
                  <w:r>
                    <w:rPr>
                      <w:rFonts w:hint="eastAsia" w:cs="Times New Roman"/>
                      <w:b w:val="0"/>
                      <w:bCs/>
                      <w:snapToGrid w:val="0"/>
                      <w:color w:val="auto"/>
                      <w:kern w:val="0"/>
                      <w:sz w:val="21"/>
                      <w:szCs w:val="21"/>
                      <w:highlight w:val="none"/>
                      <w:lang w:val="en-US" w:eastAsia="zh-CN"/>
                    </w:rPr>
                    <w:t>体</w:t>
                  </w:r>
                  <w:r>
                    <w:rPr>
                      <w:rFonts w:hint="default" w:ascii="Times New Roman" w:hAnsi="Times New Roman" w:eastAsia="宋体" w:cs="Times New Roman"/>
                      <w:b w:val="0"/>
                      <w:bCs/>
                      <w:snapToGrid w:val="0"/>
                      <w:color w:val="auto"/>
                      <w:kern w:val="0"/>
                      <w:sz w:val="21"/>
                      <w:szCs w:val="21"/>
                      <w:highlight w:val="none"/>
                      <w:lang w:val="en-US" w:eastAsia="zh-CN"/>
                    </w:rPr>
                    <w:t>敷设</w:t>
                  </w:r>
                </w:p>
              </w:tc>
              <w:tc>
                <w:tcPr>
                  <w:tcW w:w="968"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49000</w:t>
                  </w:r>
                </w:p>
              </w:tc>
              <w:tc>
                <w:tcPr>
                  <w:tcW w:w="98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49000</w:t>
                  </w:r>
                </w:p>
              </w:tc>
              <w:tc>
                <w:tcPr>
                  <w:tcW w:w="7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91"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17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c>
                <w:tcPr>
                  <w:tcW w:w="10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16"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电缆敷设</w:t>
                  </w:r>
                </w:p>
              </w:tc>
              <w:tc>
                <w:tcPr>
                  <w:tcW w:w="968"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19600</w:t>
                  </w:r>
                </w:p>
              </w:tc>
              <w:tc>
                <w:tcPr>
                  <w:tcW w:w="98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19600</w:t>
                  </w:r>
                </w:p>
              </w:tc>
              <w:tc>
                <w:tcPr>
                  <w:tcW w:w="7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91"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17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c>
                <w:tcPr>
                  <w:tcW w:w="10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16"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合计</w:t>
                  </w:r>
                </w:p>
              </w:tc>
              <w:tc>
                <w:tcPr>
                  <w:tcW w:w="968"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2459800</w:t>
                  </w:r>
                </w:p>
              </w:tc>
              <w:tc>
                <w:tcPr>
                  <w:tcW w:w="98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2340100</w:t>
                  </w:r>
                </w:p>
              </w:tc>
              <w:tc>
                <w:tcPr>
                  <w:tcW w:w="7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w:t>
                  </w:r>
                </w:p>
              </w:tc>
              <w:tc>
                <w:tcPr>
                  <w:tcW w:w="1091"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119700</w:t>
                  </w:r>
                </w:p>
              </w:tc>
              <w:tc>
                <w:tcPr>
                  <w:tcW w:w="1172"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w:t>
                  </w:r>
                </w:p>
              </w:tc>
              <w:tc>
                <w:tcPr>
                  <w:tcW w:w="1023" w:type="dxa"/>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default" w:ascii="Times New Roman" w:hAnsi="Times New Roman" w:eastAsia="宋体" w:cs="Times New Roman"/>
                      <w:b w:val="0"/>
                      <w:bCs/>
                      <w:snapToGrid w:val="0"/>
                      <w:color w:val="auto"/>
                      <w:kern w:val="0"/>
                      <w:sz w:val="21"/>
                      <w:szCs w:val="21"/>
                      <w:highlight w:val="none"/>
                      <w:lang w:val="en-US" w:eastAsia="zh-CN"/>
                    </w:rPr>
                  </w:pPr>
                  <w:r>
                    <w:rPr>
                      <w:rFonts w:hint="eastAsia" w:cs="Times New Roman"/>
                      <w:b w:val="0"/>
                      <w:bCs/>
                      <w:snapToGrid w:val="0"/>
                      <w:color w:val="auto"/>
                      <w:kern w:val="0"/>
                      <w:sz w:val="21"/>
                      <w:szCs w:val="21"/>
                      <w:highlight w:val="none"/>
                      <w:lang w:val="en-US" w:eastAsia="zh-CN"/>
                    </w:rPr>
                    <w:t>119700</w:t>
                  </w:r>
                </w:p>
              </w:tc>
              <w:tc>
                <w:tcPr>
                  <w:tcW w:w="1016" w:type="dxa"/>
                  <w:vMerge w:val="continue"/>
                  <w:noWrap w:val="0"/>
                  <w:vAlign w:val="center"/>
                </w:tcPr>
                <w:p>
                  <w:pPr>
                    <w:keepNext w:val="0"/>
                    <w:keepLines w:val="0"/>
                    <w:pageBreakBefore w:val="0"/>
                    <w:widowControl w:val="0"/>
                    <w:kinsoku/>
                    <w:wordWrap/>
                    <w:overflowPunct/>
                    <w:topLinePunct/>
                    <w:autoSpaceDE w:val="0"/>
                    <w:autoSpaceDN w:val="0"/>
                    <w:bidi w:val="0"/>
                    <w:adjustRightInd w:val="0"/>
                    <w:snapToGrid w:val="0"/>
                    <w:jc w:val="center"/>
                    <w:textAlignment w:val="bottom"/>
                    <w:rPr>
                      <w:rFonts w:hint="eastAsia" w:cs="Times New Roman"/>
                      <w:b w:val="0"/>
                      <w:bCs/>
                      <w:snapToGrid w:val="0"/>
                      <w:color w:val="auto"/>
                      <w:kern w:val="0"/>
                      <w:sz w:val="21"/>
                      <w:szCs w:val="21"/>
                      <w:highlight w:val="none"/>
                      <w:lang w:val="en-US" w:eastAsia="zh-CN"/>
                    </w:rPr>
                  </w:pPr>
                </w:p>
              </w:tc>
            </w:tr>
          </w:tbl>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2" w:firstLineChars="20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7</w:t>
            </w:r>
            <w:r>
              <w:rPr>
                <w:rFonts w:hint="default" w:ascii="Times New Roman" w:hAnsi="Times New Roman" w:eastAsia="仿宋" w:cs="Times New Roman"/>
                <w:color w:val="auto"/>
                <w:lang w:val="en-US" w:eastAsia="zh-CN"/>
              </w:rPr>
              <w:t>.劳动定员</w:t>
            </w:r>
          </w:p>
          <w:p>
            <w:pPr>
              <w:pStyle w:val="49"/>
              <w:bidi w:val="0"/>
              <w:rPr>
                <w:rFonts w:hint="default" w:ascii="Times New Roman" w:hAnsi="Times New Roman" w:eastAsia="宋体" w:cs="Times New Roman"/>
                <w:b/>
                <w:color w:val="auto"/>
                <w:kern w:val="2"/>
                <w:sz w:val="24"/>
                <w:szCs w:val="20"/>
                <w:lang w:val="en-US" w:eastAsia="zh-CN" w:bidi="ar-SA"/>
              </w:rPr>
            </w:pPr>
            <w:r>
              <w:rPr>
                <w:rFonts w:hint="eastAsia"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lang w:val="en-US" w:eastAsia="zh-CN"/>
              </w:rPr>
              <w:t>施工高峰期施工人数为</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lang w:val="en-US" w:eastAsia="zh-CN"/>
              </w:rPr>
              <w:t>0人/d；施工平均人数估算为50人/d；</w:t>
            </w:r>
            <w:r>
              <w:rPr>
                <w:rFonts w:hint="eastAsia" w:ascii="Times New Roman" w:hAnsi="Times New Roman" w:cs="Times New Roman"/>
                <w:color w:val="auto"/>
                <w:highlight w:val="none"/>
                <w:lang w:val="en-US" w:eastAsia="zh-CN"/>
              </w:rPr>
              <w:t>运营期为无人值守</w:t>
            </w:r>
            <w:r>
              <w:rPr>
                <w:rFonts w:hint="default" w:ascii="Times New Roman" w:hAnsi="Times New Roman"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75"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项目组成及规模</w:t>
            </w:r>
          </w:p>
        </w:tc>
        <w:tc>
          <w:tcPr>
            <w:tcW w:w="85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95"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项目组成及规模</w:t>
            </w:r>
          </w:p>
        </w:tc>
        <w:tc>
          <w:tcPr>
            <w:tcW w:w="85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55"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项目组成及规模</w:t>
            </w:r>
          </w:p>
        </w:tc>
        <w:tc>
          <w:tcPr>
            <w:tcW w:w="85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0"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项目组成及规模</w:t>
            </w:r>
          </w:p>
        </w:tc>
        <w:tc>
          <w:tcPr>
            <w:tcW w:w="85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5"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项目组成及规模</w:t>
            </w:r>
          </w:p>
        </w:tc>
        <w:tc>
          <w:tcPr>
            <w:tcW w:w="85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p>
        </w:tc>
      </w:tr>
    </w:tbl>
    <w:p>
      <w:pPr>
        <w:rPr>
          <w:rFonts w:hint="default" w:ascii="Times New Roman" w:hAnsi="Times New Roman" w:cs="Times New Roman"/>
          <w:color w:val="auto"/>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3"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总平面及现场布置</w:t>
            </w:r>
          </w:p>
        </w:tc>
        <w:tc>
          <w:tcPr>
            <w:tcW w:w="8643" w:type="dxa"/>
            <w:vMerge w:val="restart"/>
            <w:tcBorders>
              <w:tl2br w:val="nil"/>
              <w:tr2bl w:val="nil"/>
            </w:tcBorders>
            <w:vAlign w:val="center"/>
          </w:tcPr>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2" w:firstLineChars="2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1.工程布局情况</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0" w:firstLineChars="200"/>
              <w:jc w:val="left"/>
              <w:textAlignment w:val="auto"/>
              <w:rPr>
                <w:rFonts w:hint="default" w:ascii="Times New Roman" w:hAnsi="Times New Roman" w:eastAsia="方正仿宋_GB2312" w:cs="Times New Roman"/>
                <w:b w:val="0"/>
                <w:bCs w:val="0"/>
                <w:color w:val="auto"/>
                <w:sz w:val="24"/>
                <w:szCs w:val="24"/>
                <w:lang w:val="en-US" w:eastAsia="zh-CN"/>
              </w:rPr>
            </w:pPr>
            <w:r>
              <w:rPr>
                <w:rFonts w:hint="default" w:ascii="Times New Roman" w:hAnsi="Times New Roman" w:eastAsia="仿宋" w:cs="Times New Roman"/>
                <w:b w:val="0"/>
                <w:bCs w:val="0"/>
                <w:color w:val="auto"/>
                <w:kern w:val="16"/>
                <w:sz w:val="24"/>
                <w:szCs w:val="24"/>
                <w:lang w:val="en-US" w:eastAsia="zh-CN" w:bidi="ar-SA"/>
              </w:rPr>
              <w:t>本项目</w:t>
            </w:r>
            <w:r>
              <w:rPr>
                <w:rFonts w:hint="eastAsia" w:ascii="Times New Roman" w:hAnsi="Times New Roman" w:eastAsia="仿宋" w:cs="Times New Roman"/>
                <w:b w:val="0"/>
                <w:bCs w:val="0"/>
                <w:color w:val="auto"/>
                <w:kern w:val="16"/>
                <w:sz w:val="24"/>
                <w:szCs w:val="24"/>
                <w:lang w:val="en-US" w:eastAsia="zh-CN" w:bidi="ar-SA"/>
              </w:rPr>
              <w:t>主要安装150</w:t>
            </w:r>
            <w:r>
              <w:rPr>
                <w:rFonts w:hint="default" w:ascii="Times New Roman" w:hAnsi="Times New Roman" w:eastAsia="仿宋" w:cs="Times New Roman"/>
                <w:b w:val="0"/>
                <w:bCs w:val="0"/>
                <w:color w:val="auto"/>
                <w:kern w:val="16"/>
                <w:sz w:val="24"/>
                <w:szCs w:val="24"/>
                <w:lang w:val="en-US" w:eastAsia="zh-CN" w:bidi="ar-SA"/>
              </w:rPr>
              <w:t>台</w:t>
            </w:r>
            <w:r>
              <w:rPr>
                <w:rFonts w:hint="eastAsia" w:ascii="Times New Roman" w:hAnsi="Times New Roman" w:eastAsia="仿宋" w:cs="Times New Roman"/>
                <w:b w:val="0"/>
                <w:bCs w:val="0"/>
                <w:color w:val="auto"/>
                <w:kern w:val="16"/>
                <w:sz w:val="24"/>
                <w:szCs w:val="24"/>
                <w:lang w:val="en-US" w:eastAsia="zh-CN" w:bidi="ar-SA"/>
              </w:rPr>
              <w:t>6667</w:t>
            </w:r>
            <w:r>
              <w:rPr>
                <w:rFonts w:hint="default" w:ascii="Times New Roman" w:hAnsi="Times New Roman" w:eastAsia="仿宋" w:cs="Times New Roman"/>
                <w:b w:val="0"/>
                <w:bCs w:val="0"/>
                <w:color w:val="auto"/>
                <w:kern w:val="16"/>
                <w:sz w:val="24"/>
                <w:szCs w:val="24"/>
                <w:lang w:val="en-US" w:eastAsia="zh-CN" w:bidi="ar-SA"/>
              </w:rPr>
              <w:t>kW风力发电机组、</w:t>
            </w:r>
            <w:r>
              <w:rPr>
                <w:rFonts w:hint="eastAsia" w:ascii="Times New Roman" w:hAnsi="Times New Roman" w:eastAsia="仿宋" w:cs="Times New Roman"/>
                <w:b w:val="0"/>
                <w:bCs w:val="0"/>
                <w:color w:val="auto"/>
                <w:kern w:val="16"/>
                <w:sz w:val="24"/>
                <w:szCs w:val="24"/>
                <w:lang w:val="en-US" w:eastAsia="zh-CN" w:bidi="ar-SA"/>
              </w:rPr>
              <w:t>15</w:t>
            </w:r>
            <w:r>
              <w:rPr>
                <w:rFonts w:hint="default" w:ascii="Times New Roman" w:hAnsi="Times New Roman" w:eastAsia="仿宋" w:cs="Times New Roman"/>
                <w:b w:val="0"/>
                <w:bCs w:val="0"/>
                <w:color w:val="auto"/>
                <w:kern w:val="16"/>
                <w:sz w:val="24"/>
                <w:szCs w:val="24"/>
                <w:lang w:val="en-US" w:eastAsia="zh-CN" w:bidi="ar-SA"/>
              </w:rPr>
              <w:t>0台华式箱式变压器（油浸式）</w:t>
            </w:r>
            <w:r>
              <w:rPr>
                <w:rFonts w:hint="eastAsia" w:ascii="Times New Roman" w:hAnsi="Times New Roman" w:eastAsia="仿宋" w:cs="Times New Roman"/>
                <w:b w:val="0"/>
                <w:bCs w:val="0"/>
                <w:color w:val="auto"/>
                <w:kern w:val="16"/>
                <w:sz w:val="24"/>
                <w:szCs w:val="24"/>
                <w:lang w:val="en-US" w:eastAsia="zh-CN" w:bidi="ar-SA"/>
              </w:rPr>
              <w:t>；</w:t>
            </w:r>
            <w:r>
              <w:rPr>
                <w:rFonts w:hint="default" w:ascii="Times New Roman" w:hAnsi="Times New Roman" w:eastAsia="仿宋" w:cs="Times New Roman"/>
                <w:b w:val="0"/>
                <w:bCs w:val="0"/>
                <w:color w:val="auto"/>
                <w:kern w:val="16"/>
                <w:sz w:val="24"/>
                <w:szCs w:val="24"/>
                <w:lang w:val="en-US" w:eastAsia="zh-CN" w:bidi="ar-SA"/>
              </w:rPr>
              <w:t>本项目风力发电场</w:t>
            </w:r>
            <w:r>
              <w:rPr>
                <w:rFonts w:hint="eastAsia" w:ascii="Times New Roman" w:hAnsi="Times New Roman" w:eastAsia="仿宋" w:cs="Times New Roman"/>
                <w:b w:val="0"/>
                <w:bCs w:val="0"/>
                <w:color w:val="auto"/>
                <w:kern w:val="16"/>
                <w:sz w:val="24"/>
                <w:szCs w:val="24"/>
                <w:lang w:val="en-US" w:eastAsia="zh-CN" w:bidi="ar-SA"/>
              </w:rPr>
              <w:t>分为三个区块，分别为海原风电1块地、海原风电2块地和海原风电3块地</w:t>
            </w:r>
            <w:r>
              <w:rPr>
                <w:rFonts w:hint="eastAsia" w:ascii="Times New Roman" w:hAnsi="Times New Roman" w:eastAsia="仿宋" w:cs="Times New Roman"/>
                <w:b w:val="0"/>
                <w:bCs w:val="0"/>
                <w:color w:val="auto"/>
                <w:kern w:val="16"/>
                <w:sz w:val="24"/>
                <w:szCs w:val="24"/>
                <w:highlight w:val="none"/>
                <w:lang w:val="en-US" w:eastAsia="zh-CN" w:bidi="ar-SA"/>
              </w:rPr>
              <w:t>；本项目平面布置图见附图7，本项目风电场风机机组平面布置总图见附图8，地块一道路布置图见附图9，地块二道路布置图见附图10，地块三道路布置图见附图11</w:t>
            </w:r>
            <w:r>
              <w:rPr>
                <w:rFonts w:hint="default" w:ascii="Times New Roman" w:hAnsi="Times New Roman" w:eastAsia="方正仿宋_GB2312" w:cs="Times New Roman"/>
                <w:b w:val="0"/>
                <w:bCs w:val="0"/>
                <w:color w:val="auto"/>
                <w:sz w:val="24"/>
                <w:szCs w:val="24"/>
                <w:highlight w:val="none"/>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2" w:firstLineChars="200"/>
              <w:jc w:val="left"/>
              <w:textAlignment w:val="auto"/>
              <w:rPr>
                <w:rFonts w:hint="default" w:ascii="Times New Roman" w:hAnsi="Times New Roman" w:eastAsia="方正仿宋_GB2312" w:cs="Times New Roman"/>
                <w:b/>
                <w:bCs/>
                <w:color w:val="auto"/>
                <w:sz w:val="24"/>
                <w:szCs w:val="24"/>
                <w:lang w:val="en-US" w:eastAsia="zh-CN"/>
              </w:rPr>
            </w:pPr>
            <w:r>
              <w:rPr>
                <w:rFonts w:hint="default" w:ascii="Times New Roman" w:hAnsi="Times New Roman" w:eastAsia="方正仿宋_GB2312" w:cs="Times New Roman"/>
                <w:b/>
                <w:bCs/>
                <w:color w:val="auto"/>
                <w:sz w:val="24"/>
                <w:szCs w:val="24"/>
                <w:lang w:val="en-US" w:eastAsia="zh-CN"/>
              </w:rPr>
              <w:t>（1）风力发电机组布置</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0" w:firstLineChars="200"/>
              <w:jc w:val="left"/>
              <w:textAlignment w:val="auto"/>
              <w:rPr>
                <w:rFonts w:hint="eastAsia" w:ascii="Times New Roman" w:hAnsi="Times New Roman" w:eastAsia="仿宋" w:cs="Times New Roman"/>
                <w:b w:val="0"/>
                <w:bCs w:val="0"/>
                <w:color w:val="auto"/>
                <w:kern w:val="16"/>
                <w:sz w:val="24"/>
                <w:szCs w:val="24"/>
                <w:lang w:val="en-US" w:eastAsia="zh-CN" w:bidi="ar-SA"/>
              </w:rPr>
            </w:pPr>
            <w:r>
              <w:rPr>
                <w:rFonts w:hint="default" w:ascii="Times New Roman" w:hAnsi="Times New Roman" w:eastAsia="仿宋" w:cs="Times New Roman"/>
                <w:b w:val="0"/>
                <w:bCs w:val="0"/>
                <w:color w:val="auto"/>
                <w:kern w:val="16"/>
                <w:sz w:val="24"/>
                <w:szCs w:val="24"/>
                <w:lang w:val="en-US" w:eastAsia="zh-CN" w:bidi="ar-SA"/>
              </w:rPr>
              <w:t>本项目采用</w:t>
            </w:r>
            <w:r>
              <w:rPr>
                <w:rFonts w:hint="eastAsia" w:ascii="Times New Roman" w:hAnsi="Times New Roman" w:eastAsia="仿宋" w:cs="Times New Roman"/>
                <w:b w:val="0"/>
                <w:bCs w:val="0"/>
                <w:color w:val="auto"/>
                <w:kern w:val="16"/>
                <w:sz w:val="24"/>
                <w:szCs w:val="24"/>
                <w:lang w:val="en-US" w:eastAsia="zh-CN" w:bidi="ar-SA"/>
              </w:rPr>
              <w:t>150台6.67MW</w:t>
            </w:r>
            <w:r>
              <w:rPr>
                <w:rFonts w:hint="default" w:ascii="Times New Roman" w:hAnsi="Times New Roman" w:eastAsia="仿宋" w:cs="Times New Roman"/>
                <w:b w:val="0"/>
                <w:bCs w:val="0"/>
                <w:color w:val="auto"/>
                <w:kern w:val="16"/>
                <w:sz w:val="24"/>
                <w:szCs w:val="24"/>
                <w:lang w:val="en-US" w:eastAsia="zh-CN" w:bidi="ar-SA"/>
              </w:rPr>
              <w:t>风力发电机组</w:t>
            </w:r>
            <w:r>
              <w:rPr>
                <w:rFonts w:hint="eastAsia" w:ascii="Times New Roman" w:hAnsi="Times New Roman" w:eastAsia="仿宋" w:cs="Times New Roman"/>
                <w:b w:val="0"/>
                <w:bCs w:val="0"/>
                <w:color w:val="auto"/>
                <w:kern w:val="16"/>
                <w:sz w:val="24"/>
                <w:szCs w:val="24"/>
                <w:lang w:val="en-US" w:eastAsia="zh-CN" w:bidi="ar-SA"/>
              </w:rPr>
              <w:t>，</w:t>
            </w:r>
            <w:r>
              <w:rPr>
                <w:rFonts w:hint="default" w:ascii="Times New Roman" w:hAnsi="Times New Roman" w:eastAsia="仿宋" w:cs="Times New Roman"/>
                <w:b w:val="0"/>
                <w:bCs w:val="0"/>
                <w:color w:val="auto"/>
                <w:kern w:val="16"/>
                <w:sz w:val="24"/>
                <w:szCs w:val="24"/>
                <w:lang w:val="en-US" w:eastAsia="zh-CN" w:bidi="ar-SA"/>
              </w:rPr>
              <w:t>风电机组布置原则为根据风能分布情况、地形条件、充分利用土地、结合当地交通运输条件和安装条件优选机位</w:t>
            </w:r>
            <w:r>
              <w:rPr>
                <w:rFonts w:hint="eastAsia" w:ascii="Times New Roman" w:hAnsi="Times New Roman" w:eastAsia="仿宋" w:cs="Times New Roman"/>
                <w:b w:val="0"/>
                <w:bCs w:val="0"/>
                <w:color w:val="auto"/>
                <w:kern w:val="16"/>
                <w:sz w:val="24"/>
                <w:szCs w:val="24"/>
                <w:lang w:val="en-US" w:eastAsia="zh-CN" w:bidi="ar-SA"/>
              </w:rPr>
              <w:t>：</w:t>
            </w:r>
          </w:p>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0" w:firstLineChars="200"/>
              <w:rPr>
                <w:rFonts w:hint="default" w:ascii="Times New Roman" w:hAnsi="Times New Roman" w:eastAsia="仿宋" w:cs="Times New Roman"/>
                <w:b w:val="0"/>
                <w:bCs w:val="0"/>
                <w:color w:val="auto"/>
                <w:kern w:val="16"/>
                <w:sz w:val="24"/>
                <w:szCs w:val="24"/>
                <w:lang w:val="en-US" w:eastAsia="zh-CN" w:bidi="ar-SA"/>
              </w:rPr>
            </w:pPr>
            <w:r>
              <w:rPr>
                <w:rFonts w:hint="eastAsia" w:eastAsia="仿宋" w:cs="Times New Roman"/>
                <w:b w:val="0"/>
                <w:bCs w:val="0"/>
                <w:color w:val="auto"/>
                <w:kern w:val="16"/>
                <w:sz w:val="24"/>
                <w:szCs w:val="24"/>
                <w:lang w:val="en-US" w:eastAsia="zh-CN" w:bidi="ar-SA"/>
              </w:rPr>
              <w:t>a.</w:t>
            </w:r>
            <w:r>
              <w:rPr>
                <w:rFonts w:hint="default" w:ascii="Times New Roman" w:hAnsi="Times New Roman" w:eastAsia="仿宋" w:cs="Times New Roman"/>
                <w:b w:val="0"/>
                <w:bCs w:val="0"/>
                <w:color w:val="auto"/>
                <w:kern w:val="16"/>
                <w:sz w:val="24"/>
                <w:szCs w:val="24"/>
                <w:lang w:val="en-US" w:eastAsia="zh-CN" w:bidi="ar-SA"/>
              </w:rPr>
              <w:t xml:space="preserve">机位尽可能置于风能高值区。 </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0" w:firstLineChars="200"/>
              <w:jc w:val="left"/>
              <w:textAlignment w:val="auto"/>
              <w:rPr>
                <w:rFonts w:hint="default" w:ascii="Times New Roman" w:hAnsi="Times New Roman" w:eastAsia="仿宋" w:cs="Times New Roman"/>
                <w:b w:val="0"/>
                <w:bCs w:val="0"/>
                <w:color w:val="auto"/>
                <w:kern w:val="16"/>
                <w:sz w:val="24"/>
                <w:szCs w:val="24"/>
                <w:lang w:val="en-US" w:eastAsia="zh-CN" w:bidi="ar-SA"/>
              </w:rPr>
            </w:pPr>
            <w:r>
              <w:rPr>
                <w:rFonts w:hint="eastAsia" w:ascii="Times New Roman" w:hAnsi="Times New Roman" w:eastAsia="仿宋" w:cs="Times New Roman"/>
                <w:b w:val="0"/>
                <w:bCs w:val="0"/>
                <w:color w:val="auto"/>
                <w:kern w:val="16"/>
                <w:sz w:val="24"/>
                <w:szCs w:val="24"/>
                <w:lang w:val="en-US" w:eastAsia="zh-CN" w:bidi="ar-SA"/>
              </w:rPr>
              <w:t>b.</w:t>
            </w:r>
            <w:r>
              <w:rPr>
                <w:rFonts w:hint="default" w:ascii="Times New Roman" w:hAnsi="Times New Roman" w:eastAsia="仿宋" w:cs="Times New Roman"/>
                <w:b w:val="0"/>
                <w:bCs w:val="0"/>
                <w:color w:val="auto"/>
                <w:kern w:val="16"/>
                <w:sz w:val="24"/>
                <w:szCs w:val="24"/>
                <w:lang w:val="en-US" w:eastAsia="zh-CN" w:bidi="ar-SA"/>
              </w:rPr>
              <w:t xml:space="preserve">风电机组排列考虑垂直于主风能方向。 </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0" w:firstLineChars="200"/>
              <w:jc w:val="left"/>
              <w:textAlignment w:val="auto"/>
              <w:rPr>
                <w:rFonts w:hint="default" w:ascii="Times New Roman" w:hAnsi="Times New Roman" w:eastAsia="仿宋" w:cs="Times New Roman"/>
                <w:b w:val="0"/>
                <w:bCs w:val="0"/>
                <w:color w:val="auto"/>
                <w:kern w:val="16"/>
                <w:sz w:val="24"/>
                <w:szCs w:val="24"/>
                <w:lang w:val="en-US" w:eastAsia="zh-CN" w:bidi="ar-SA"/>
              </w:rPr>
            </w:pPr>
            <w:r>
              <w:rPr>
                <w:rFonts w:hint="eastAsia" w:ascii="Times New Roman" w:hAnsi="Times New Roman" w:eastAsia="仿宋" w:cs="Times New Roman"/>
                <w:b w:val="0"/>
                <w:bCs w:val="0"/>
                <w:color w:val="auto"/>
                <w:kern w:val="16"/>
                <w:sz w:val="24"/>
                <w:szCs w:val="24"/>
                <w:lang w:val="en-US" w:eastAsia="zh-CN" w:bidi="ar-SA"/>
              </w:rPr>
              <w:t>c.</w:t>
            </w:r>
            <w:r>
              <w:rPr>
                <w:rFonts w:hint="default" w:ascii="Times New Roman" w:hAnsi="Times New Roman" w:eastAsia="仿宋" w:cs="Times New Roman"/>
                <w:b w:val="0"/>
                <w:bCs w:val="0"/>
                <w:color w:val="auto"/>
                <w:kern w:val="16"/>
                <w:sz w:val="24"/>
                <w:szCs w:val="24"/>
                <w:lang w:val="en-US" w:eastAsia="zh-CN" w:bidi="ar-SA"/>
              </w:rPr>
              <w:t xml:space="preserve">风机之间尽量相对紧凑，以减少集电线路和道路的投资。 </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0" w:firstLineChars="200"/>
              <w:jc w:val="left"/>
              <w:textAlignment w:val="auto"/>
              <w:rPr>
                <w:rFonts w:hint="default" w:ascii="Times New Roman" w:hAnsi="Times New Roman" w:eastAsia="仿宋" w:cs="Times New Roman"/>
                <w:b w:val="0"/>
                <w:bCs w:val="0"/>
                <w:color w:val="auto"/>
                <w:kern w:val="16"/>
                <w:sz w:val="24"/>
                <w:szCs w:val="24"/>
                <w:lang w:val="en-US" w:eastAsia="zh-CN" w:bidi="ar-SA"/>
              </w:rPr>
            </w:pPr>
            <w:r>
              <w:rPr>
                <w:rFonts w:hint="eastAsia" w:ascii="Times New Roman" w:hAnsi="Times New Roman" w:eastAsia="仿宋" w:cs="Times New Roman"/>
                <w:b w:val="0"/>
                <w:bCs w:val="0"/>
                <w:color w:val="auto"/>
                <w:kern w:val="16"/>
                <w:sz w:val="24"/>
                <w:szCs w:val="24"/>
                <w:lang w:val="en-US" w:eastAsia="zh-CN" w:bidi="ar-SA"/>
              </w:rPr>
              <w:t>d.</w:t>
            </w:r>
            <w:r>
              <w:rPr>
                <w:rFonts w:hint="default" w:ascii="Times New Roman" w:hAnsi="Times New Roman" w:eastAsia="仿宋" w:cs="Times New Roman"/>
                <w:b w:val="0"/>
                <w:bCs w:val="0"/>
                <w:color w:val="auto"/>
                <w:kern w:val="16"/>
                <w:sz w:val="24"/>
                <w:szCs w:val="24"/>
                <w:lang w:val="en-US" w:eastAsia="zh-CN" w:bidi="ar-SA"/>
              </w:rPr>
              <w:t>依据地形及规划风电场范围，风机布置采用多行多列的</w:t>
            </w:r>
            <w:r>
              <w:rPr>
                <w:rFonts w:hint="eastAsia" w:ascii="Times New Roman" w:hAnsi="Times New Roman" w:eastAsia="仿宋" w:cs="Times New Roman"/>
                <w:b w:val="0"/>
                <w:bCs w:val="0"/>
                <w:color w:val="auto"/>
                <w:kern w:val="16"/>
                <w:sz w:val="24"/>
                <w:szCs w:val="24"/>
                <w:lang w:val="en-US" w:eastAsia="zh-CN" w:bidi="ar-SA"/>
              </w:rPr>
              <w:t>梅花</w:t>
            </w:r>
            <w:r>
              <w:rPr>
                <w:rFonts w:hint="default" w:ascii="Times New Roman" w:hAnsi="Times New Roman" w:eastAsia="仿宋" w:cs="Times New Roman"/>
                <w:b w:val="0"/>
                <w:bCs w:val="0"/>
                <w:color w:val="auto"/>
                <w:kern w:val="16"/>
                <w:sz w:val="24"/>
                <w:szCs w:val="24"/>
                <w:lang w:val="en-US" w:eastAsia="zh-CN" w:bidi="ar-SA"/>
              </w:rPr>
              <w:t>型布置方案，行距取大于 3 倍风轮直径、列距取大于 5 倍风轮直径，以最大限度地减少风力发电机组之间的尾流影响。</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2" w:firstLineChars="200"/>
              <w:jc w:val="left"/>
              <w:textAlignment w:val="auto"/>
              <w:rPr>
                <w:rFonts w:hint="default" w:ascii="Times New Roman" w:hAnsi="Times New Roman" w:eastAsia="仿宋" w:cs="Times New Roman"/>
                <w:b/>
                <w:bCs/>
                <w:color w:val="auto"/>
                <w:kern w:val="16"/>
                <w:sz w:val="24"/>
                <w:szCs w:val="24"/>
                <w:lang w:val="en-US" w:eastAsia="zh-CN" w:bidi="ar-SA"/>
              </w:rPr>
            </w:pPr>
            <w:r>
              <w:rPr>
                <w:rFonts w:hint="default" w:ascii="Times New Roman" w:hAnsi="Times New Roman" w:eastAsia="仿宋" w:cs="Times New Roman"/>
                <w:b/>
                <w:bCs/>
                <w:color w:val="auto"/>
                <w:kern w:val="16"/>
                <w:sz w:val="24"/>
                <w:szCs w:val="24"/>
                <w:lang w:val="en-US" w:eastAsia="zh-CN" w:bidi="ar-SA"/>
              </w:rPr>
              <w:t>（2）变压器</w:t>
            </w:r>
            <w:r>
              <w:rPr>
                <w:rFonts w:hint="eastAsia" w:ascii="Times New Roman" w:hAnsi="Times New Roman" w:eastAsia="仿宋" w:cs="Times New Roman"/>
                <w:b/>
                <w:bCs/>
                <w:color w:val="auto"/>
                <w:kern w:val="16"/>
                <w:sz w:val="24"/>
                <w:szCs w:val="24"/>
                <w:lang w:val="en-US" w:eastAsia="zh-CN" w:bidi="ar-SA"/>
              </w:rPr>
              <w:t>布置</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0" w:firstLineChars="200"/>
              <w:jc w:val="left"/>
              <w:textAlignment w:val="auto"/>
              <w:rPr>
                <w:rFonts w:hint="default" w:ascii="Times New Roman" w:hAnsi="Times New Roman" w:eastAsia="仿宋" w:cs="Times New Roman"/>
                <w:b w:val="0"/>
                <w:bCs w:val="0"/>
                <w:color w:val="auto"/>
                <w:kern w:val="16"/>
                <w:sz w:val="24"/>
                <w:szCs w:val="24"/>
                <w:lang w:val="en-US" w:eastAsia="zh-CN" w:bidi="ar-SA"/>
              </w:rPr>
            </w:pPr>
            <w:r>
              <w:rPr>
                <w:rFonts w:hint="default" w:ascii="Times New Roman" w:hAnsi="Times New Roman" w:eastAsia="仿宋" w:cs="Times New Roman"/>
                <w:b w:val="0"/>
                <w:bCs w:val="0"/>
                <w:color w:val="auto"/>
                <w:kern w:val="16"/>
                <w:sz w:val="24"/>
                <w:szCs w:val="24"/>
                <w:lang w:val="en-US" w:eastAsia="zh-CN" w:bidi="ar-SA"/>
              </w:rPr>
              <w:t>本项目采用一机一变模式，每台风机配套安装1台S18-7900/35华式箱式变压器（油浸式，共安装</w:t>
            </w:r>
            <w:r>
              <w:rPr>
                <w:rFonts w:hint="eastAsia" w:ascii="Times New Roman" w:hAnsi="Times New Roman" w:eastAsia="仿宋" w:cs="Times New Roman"/>
                <w:b w:val="0"/>
                <w:bCs w:val="0"/>
                <w:color w:val="auto"/>
                <w:kern w:val="16"/>
                <w:sz w:val="24"/>
                <w:szCs w:val="24"/>
                <w:lang w:val="en-US" w:eastAsia="zh-CN" w:bidi="ar-SA"/>
              </w:rPr>
              <w:t>150</w:t>
            </w:r>
            <w:r>
              <w:rPr>
                <w:rFonts w:hint="default" w:ascii="Times New Roman" w:hAnsi="Times New Roman" w:eastAsia="仿宋" w:cs="Times New Roman"/>
                <w:b w:val="0"/>
                <w:bCs w:val="0"/>
                <w:color w:val="auto"/>
                <w:kern w:val="16"/>
                <w:sz w:val="24"/>
                <w:szCs w:val="24"/>
                <w:lang w:val="en-US" w:eastAsia="zh-CN" w:bidi="ar-SA"/>
              </w:rPr>
              <w:t>台），箱变安装位置应处于风机与最近杆位的连接线上，靠近风机布置，箱变高压侧指向终端杆，低压侧指向风机</w:t>
            </w:r>
            <w:r>
              <w:rPr>
                <w:rFonts w:hint="eastAsia" w:ascii="Times New Roman" w:hAnsi="Times New Roman" w:eastAsia="仿宋" w:cs="Times New Roman"/>
                <w:b w:val="0"/>
                <w:bCs w:val="0"/>
                <w:color w:val="auto"/>
                <w:kern w:val="16"/>
                <w:sz w:val="24"/>
                <w:szCs w:val="24"/>
                <w:lang w:val="en-US" w:eastAsia="zh-CN" w:bidi="ar-SA"/>
              </w:rPr>
              <w:t>。</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2" w:firstLineChars="200"/>
              <w:jc w:val="left"/>
              <w:textAlignment w:val="auto"/>
              <w:rPr>
                <w:rFonts w:hint="default" w:ascii="Times New Roman" w:hAnsi="Times New Roman" w:eastAsia="方正仿宋_GB2312" w:cs="Times New Roman"/>
                <w:b w:val="0"/>
                <w:bCs w:val="0"/>
                <w:color w:val="auto"/>
                <w:sz w:val="24"/>
                <w:szCs w:val="24"/>
                <w:highlight w:val="none"/>
                <w:lang w:val="en-US" w:eastAsia="zh-CN"/>
              </w:rPr>
            </w:pPr>
            <w:r>
              <w:rPr>
                <w:rFonts w:hint="default" w:ascii="Times New Roman" w:hAnsi="Times New Roman" w:eastAsia="方正仿宋_GB2312" w:cs="Times New Roman"/>
                <w:b/>
                <w:bCs/>
                <w:color w:val="auto"/>
                <w:sz w:val="24"/>
                <w:szCs w:val="24"/>
                <w:highlight w:val="none"/>
                <w:lang w:val="en-US" w:eastAsia="zh-CN"/>
              </w:rPr>
              <w:t>（</w:t>
            </w:r>
            <w:r>
              <w:rPr>
                <w:rFonts w:hint="eastAsia" w:ascii="Times New Roman" w:hAnsi="Times New Roman" w:eastAsia="方正仿宋_GB2312" w:cs="Times New Roman"/>
                <w:b/>
                <w:bCs/>
                <w:color w:val="auto"/>
                <w:sz w:val="24"/>
                <w:szCs w:val="24"/>
                <w:highlight w:val="none"/>
                <w:lang w:val="en-US" w:eastAsia="zh-CN"/>
              </w:rPr>
              <w:t>4</w:t>
            </w:r>
            <w:r>
              <w:rPr>
                <w:rFonts w:hint="default" w:ascii="Times New Roman" w:hAnsi="Times New Roman" w:eastAsia="方正仿宋_GB2312" w:cs="Times New Roman"/>
                <w:b/>
                <w:bCs/>
                <w:color w:val="auto"/>
                <w:sz w:val="24"/>
                <w:szCs w:val="24"/>
                <w:highlight w:val="none"/>
                <w:lang w:val="en-US" w:eastAsia="zh-CN"/>
              </w:rPr>
              <w:t>）场内道路</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方正仿宋_GB2312" w:cs="Times New Roman"/>
                <w:b w:val="0"/>
                <w:bCs w:val="0"/>
                <w:color w:val="auto"/>
                <w:kern w:val="2"/>
                <w:sz w:val="24"/>
                <w:szCs w:val="24"/>
                <w:highlight w:val="none"/>
                <w:lang w:val="en-US" w:eastAsia="zh-CN" w:bidi="zh-CN"/>
              </w:rPr>
            </w:pPr>
            <w:r>
              <w:rPr>
                <w:rFonts w:hint="default" w:ascii="Times New Roman" w:hAnsi="Times New Roman" w:eastAsia="方正仿宋_GB2312" w:cs="Times New Roman"/>
                <w:b w:val="0"/>
                <w:bCs w:val="0"/>
                <w:color w:val="auto"/>
                <w:kern w:val="2"/>
                <w:sz w:val="24"/>
                <w:szCs w:val="24"/>
                <w:highlight w:val="none"/>
                <w:lang w:val="en-US" w:eastAsia="zh-CN" w:bidi="zh-CN"/>
              </w:rPr>
              <w:t>本风电场道路布置时，充分考虑利用原有道路，尽可能选择最优路线实现对机位的全连接。本项目在利用现有道路的情况下，新建道路长度236km（路面宽度 6m，路基宽度 7m，采用300mm厚砂夹石路面</w:t>
            </w:r>
            <w:r>
              <w:rPr>
                <w:rFonts w:hint="eastAsia" w:eastAsia="方正仿宋_GB2312" w:cs="Times New Roman"/>
                <w:b w:val="0"/>
                <w:bCs w:val="0"/>
                <w:color w:val="auto"/>
                <w:kern w:val="2"/>
                <w:sz w:val="24"/>
                <w:szCs w:val="24"/>
                <w:highlight w:val="none"/>
                <w:lang w:val="en-US" w:eastAsia="zh-CN" w:bidi="zh-CN"/>
              </w:rPr>
              <w:t>，</w:t>
            </w:r>
            <w:r>
              <w:rPr>
                <w:rFonts w:hint="default" w:ascii="Times New Roman" w:hAnsi="Times New Roman" w:eastAsia="方正仿宋_GB2312" w:cs="Times New Roman"/>
                <w:b w:val="0"/>
                <w:bCs w:val="0"/>
                <w:color w:val="auto"/>
                <w:kern w:val="2"/>
                <w:sz w:val="24"/>
                <w:szCs w:val="24"/>
                <w:highlight w:val="none"/>
                <w:lang w:val="en-US" w:eastAsia="zh-CN" w:bidi="zh-CN"/>
              </w:rPr>
              <w:t>压实度不低于95%），改建道路110km（路面宽度 5m，路基宽度 6m，村道水泥路采用修补方式，乡道土路采用300mm厚砂夹石路面，压实度不低于95%）。施工期结束后，在施工道路的基础上留设4m宽作为检修道路，其余路面恢复为原地貌。检修道路总长200.51km，其中新建道路120.51km，改建道路80km，设计宽度为5.0m，路面宽度4.0m。</w:t>
            </w:r>
          </w:p>
          <w:p>
            <w:pPr>
              <w:pStyle w:val="48"/>
              <w:keepNext w:val="0"/>
              <w:keepLines w:val="0"/>
              <w:pageBreakBefore w:val="0"/>
              <w:kinsoku/>
              <w:wordWrap/>
              <w:overflowPunct/>
              <w:topLinePunct w:val="0"/>
              <w:autoSpaceDE/>
              <w:autoSpaceDN/>
              <w:bidi w:val="0"/>
              <w:spacing w:before="0" w:beforeLines="0" w:after="0" w:afterLines="0" w:line="360" w:lineRule="auto"/>
              <w:ind w:firstLine="482" w:firstLineChars="200"/>
              <w:rPr>
                <w:rFonts w:hint="default" w:ascii="Times New Roman" w:hAnsi="Times New Roman" w:eastAsia="方正仿宋_GB2312" w:cs="Times New Roman"/>
                <w:b/>
                <w:bCs/>
                <w:color w:val="auto"/>
                <w:kern w:val="2"/>
                <w:sz w:val="24"/>
                <w:szCs w:val="24"/>
                <w:lang w:val="en-US" w:eastAsia="zh-CN" w:bidi="ar-SA"/>
              </w:rPr>
            </w:pPr>
            <w:r>
              <w:rPr>
                <w:rFonts w:hint="default" w:ascii="Times New Roman" w:hAnsi="Times New Roman" w:eastAsia="方正仿宋_GB2312" w:cs="Times New Roman"/>
                <w:b/>
                <w:bCs/>
                <w:color w:val="auto"/>
                <w:kern w:val="2"/>
                <w:sz w:val="24"/>
                <w:szCs w:val="24"/>
                <w:lang w:val="en-US" w:eastAsia="zh-CN" w:bidi="ar-SA"/>
              </w:rPr>
              <w:t>2.施工布置情况</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方正仿宋_GB2312"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16"/>
                <w:sz w:val="24"/>
                <w:szCs w:val="24"/>
                <w:lang w:val="en-US" w:eastAsia="zh-CN" w:bidi="ar-SA"/>
              </w:rPr>
              <w:t xml:space="preserve">本工程场址区域地势起伏不平，机组为分散布置，机组点多，运输距离较远，因此，施工总布置在满足工程施工需要及环保与水保要求的前提下，根据工程规模、施工方案及工期等因素，按照因地制宜、易于管理、安全可靠、经济合理及尽量少占耕地的原则，布置施工场地。在附近较平坦的地方布置综合加工厂、仓库、机械停放场、临时堆料场及临时办公生活区等。风电场工程共设置 </w:t>
            </w:r>
            <w:r>
              <w:rPr>
                <w:rFonts w:hint="eastAsia" w:eastAsia="仿宋" w:cs="Times New Roman"/>
                <w:b w:val="0"/>
                <w:bCs w:val="0"/>
                <w:color w:val="auto"/>
                <w:kern w:val="16"/>
                <w:sz w:val="24"/>
                <w:szCs w:val="24"/>
                <w:lang w:val="en-US" w:eastAsia="zh-CN" w:bidi="ar-SA"/>
              </w:rPr>
              <w:t>3</w:t>
            </w:r>
            <w:r>
              <w:rPr>
                <w:rFonts w:hint="default" w:ascii="Times New Roman" w:hAnsi="Times New Roman" w:eastAsia="仿宋" w:cs="Times New Roman"/>
                <w:b w:val="0"/>
                <w:bCs w:val="0"/>
                <w:color w:val="auto"/>
                <w:kern w:val="16"/>
                <w:sz w:val="24"/>
                <w:szCs w:val="24"/>
                <w:lang w:val="en-US" w:eastAsia="zh-CN" w:bidi="ar-SA"/>
              </w:rPr>
              <w:t>组施工临时设施，1#临时设施占地约为20</w:t>
            </w:r>
            <w:r>
              <w:rPr>
                <w:rFonts w:hint="eastAsia" w:eastAsia="仿宋" w:cs="Times New Roman"/>
                <w:b w:val="0"/>
                <w:bCs w:val="0"/>
                <w:color w:val="auto"/>
                <w:kern w:val="16"/>
                <w:sz w:val="24"/>
                <w:szCs w:val="24"/>
                <w:lang w:val="en-US" w:eastAsia="zh-CN" w:bidi="ar-SA"/>
              </w:rPr>
              <w:t>000</w:t>
            </w:r>
            <w:r>
              <w:rPr>
                <w:rFonts w:hint="default" w:ascii="Times New Roman" w:hAnsi="Times New Roman" w:eastAsia="仿宋" w:cs="Times New Roman"/>
                <w:b w:val="0"/>
                <w:bCs w:val="0"/>
                <w:color w:val="auto"/>
                <w:kern w:val="16"/>
                <w:sz w:val="24"/>
                <w:szCs w:val="24"/>
                <w:lang w:val="en-US" w:eastAsia="zh-CN" w:bidi="ar-SA"/>
              </w:rPr>
              <w:t>m</w:t>
            </w:r>
            <w:r>
              <w:rPr>
                <w:rFonts w:hint="default" w:ascii="Times New Roman" w:hAnsi="Times New Roman" w:eastAsia="仿宋" w:cs="Times New Roman"/>
                <w:b w:val="0"/>
                <w:bCs w:val="0"/>
                <w:color w:val="auto"/>
                <w:kern w:val="16"/>
                <w:sz w:val="24"/>
                <w:szCs w:val="24"/>
                <w:vertAlign w:val="superscript"/>
                <w:lang w:val="en-US" w:eastAsia="zh-CN" w:bidi="ar-SA"/>
              </w:rPr>
              <w:t>2</w:t>
            </w:r>
            <w:r>
              <w:rPr>
                <w:rFonts w:hint="default" w:ascii="Times New Roman" w:hAnsi="Times New Roman" w:eastAsia="仿宋" w:cs="Times New Roman"/>
                <w:b w:val="0"/>
                <w:bCs w:val="0"/>
                <w:color w:val="auto"/>
                <w:kern w:val="16"/>
                <w:sz w:val="24"/>
                <w:szCs w:val="24"/>
                <w:lang w:val="en-US" w:eastAsia="zh-CN" w:bidi="ar-SA"/>
              </w:rPr>
              <w:t>，2#临时设施占地约为2</w:t>
            </w:r>
            <w:r>
              <w:rPr>
                <w:rFonts w:hint="eastAsia" w:eastAsia="仿宋" w:cs="Times New Roman"/>
                <w:b w:val="0"/>
                <w:bCs w:val="0"/>
                <w:color w:val="auto"/>
                <w:kern w:val="16"/>
                <w:sz w:val="24"/>
                <w:szCs w:val="24"/>
                <w:lang w:val="en-US" w:eastAsia="zh-CN" w:bidi="ar-SA"/>
              </w:rPr>
              <w:t>0000</w:t>
            </w:r>
            <w:r>
              <w:rPr>
                <w:rFonts w:hint="default" w:ascii="Times New Roman" w:hAnsi="Times New Roman" w:eastAsia="仿宋" w:cs="Times New Roman"/>
                <w:b w:val="0"/>
                <w:bCs w:val="0"/>
                <w:color w:val="auto"/>
                <w:kern w:val="16"/>
                <w:sz w:val="24"/>
                <w:szCs w:val="24"/>
                <w:lang w:val="en-US" w:eastAsia="zh-CN" w:bidi="ar-SA"/>
              </w:rPr>
              <w:t>m</w:t>
            </w:r>
            <w:r>
              <w:rPr>
                <w:rFonts w:hint="default" w:ascii="Times New Roman" w:hAnsi="Times New Roman" w:eastAsia="仿宋" w:cs="Times New Roman"/>
                <w:b w:val="0"/>
                <w:bCs w:val="0"/>
                <w:color w:val="auto"/>
                <w:kern w:val="16"/>
                <w:sz w:val="24"/>
                <w:szCs w:val="24"/>
                <w:vertAlign w:val="superscript"/>
                <w:lang w:val="en-US" w:eastAsia="zh-CN" w:bidi="ar-SA"/>
              </w:rPr>
              <w:t>2</w:t>
            </w:r>
            <w:r>
              <w:rPr>
                <w:rFonts w:hint="default" w:ascii="Times New Roman" w:hAnsi="Times New Roman" w:eastAsia="仿宋" w:cs="Times New Roman"/>
                <w:b w:val="0"/>
                <w:bCs w:val="0"/>
                <w:color w:val="auto"/>
                <w:kern w:val="16"/>
                <w:sz w:val="24"/>
                <w:szCs w:val="24"/>
                <w:lang w:val="en-US" w:eastAsia="zh-CN" w:bidi="ar-SA"/>
              </w:rPr>
              <w:t>，3#临时设施占地约为20</w:t>
            </w:r>
            <w:r>
              <w:rPr>
                <w:rFonts w:hint="eastAsia" w:eastAsia="仿宋" w:cs="Times New Roman"/>
                <w:b w:val="0"/>
                <w:bCs w:val="0"/>
                <w:color w:val="auto"/>
                <w:kern w:val="16"/>
                <w:sz w:val="24"/>
                <w:szCs w:val="24"/>
                <w:lang w:val="en-US" w:eastAsia="zh-CN" w:bidi="ar-SA"/>
              </w:rPr>
              <w:t>000</w:t>
            </w:r>
            <w:r>
              <w:rPr>
                <w:rFonts w:hint="default" w:ascii="Times New Roman" w:hAnsi="Times New Roman" w:eastAsia="仿宋" w:cs="Times New Roman"/>
                <w:b w:val="0"/>
                <w:bCs w:val="0"/>
                <w:color w:val="auto"/>
                <w:kern w:val="16"/>
                <w:sz w:val="24"/>
                <w:szCs w:val="24"/>
                <w:lang w:val="en-US" w:eastAsia="zh-CN" w:bidi="ar-SA"/>
              </w:rPr>
              <w:t>m</w:t>
            </w:r>
            <w:r>
              <w:rPr>
                <w:rFonts w:hint="default" w:ascii="Times New Roman" w:hAnsi="Times New Roman" w:eastAsia="仿宋" w:cs="Times New Roman"/>
                <w:b w:val="0"/>
                <w:bCs w:val="0"/>
                <w:color w:val="auto"/>
                <w:kern w:val="16"/>
                <w:sz w:val="24"/>
                <w:szCs w:val="24"/>
                <w:vertAlign w:val="superscript"/>
                <w:lang w:val="en-US" w:eastAsia="zh-CN" w:bidi="ar-SA"/>
              </w:rPr>
              <w:t>2</w:t>
            </w:r>
            <w:r>
              <w:rPr>
                <w:rFonts w:hint="default" w:ascii="Times New Roman" w:hAnsi="Times New Roman" w:eastAsia="仿宋" w:cs="Times New Roman"/>
                <w:b w:val="0"/>
                <w:bCs w:val="0"/>
                <w:color w:val="auto"/>
                <w:kern w:val="16"/>
                <w:sz w:val="24"/>
                <w:szCs w:val="24"/>
                <w:lang w:val="en-US" w:eastAsia="zh-CN" w:bidi="ar-SA"/>
              </w:rPr>
              <w:t>，风电场工程临时设施总占地约为6</w:t>
            </w:r>
            <w:r>
              <w:rPr>
                <w:rFonts w:hint="eastAsia" w:eastAsia="仿宋" w:cs="Times New Roman"/>
                <w:b w:val="0"/>
                <w:bCs w:val="0"/>
                <w:color w:val="auto"/>
                <w:kern w:val="16"/>
                <w:sz w:val="24"/>
                <w:szCs w:val="24"/>
                <w:lang w:val="en-US" w:eastAsia="zh-CN" w:bidi="ar-SA"/>
              </w:rPr>
              <w:t>0000</w:t>
            </w:r>
            <w:r>
              <w:rPr>
                <w:rFonts w:hint="default" w:ascii="Times New Roman" w:hAnsi="Times New Roman" w:eastAsia="仿宋" w:cs="Times New Roman"/>
                <w:b w:val="0"/>
                <w:bCs w:val="0"/>
                <w:color w:val="auto"/>
                <w:kern w:val="16"/>
                <w:sz w:val="24"/>
                <w:szCs w:val="24"/>
                <w:lang w:val="en-US" w:eastAsia="zh-CN" w:bidi="ar-SA"/>
              </w:rPr>
              <w:t>m</w:t>
            </w:r>
            <w:r>
              <w:rPr>
                <w:rFonts w:hint="default" w:ascii="Times New Roman" w:hAnsi="Times New Roman" w:eastAsia="仿宋" w:cs="Times New Roman"/>
                <w:b w:val="0"/>
                <w:bCs w:val="0"/>
                <w:color w:val="auto"/>
                <w:kern w:val="16"/>
                <w:sz w:val="24"/>
                <w:szCs w:val="24"/>
                <w:vertAlign w:val="superscript"/>
                <w:lang w:val="en-US" w:eastAsia="zh-CN" w:bidi="ar-SA"/>
              </w:rPr>
              <w:t>2</w:t>
            </w:r>
            <w:r>
              <w:rPr>
                <w:rFonts w:hint="default" w:ascii="Times New Roman" w:hAnsi="Times New Roman" w:eastAsia="仿宋" w:cs="Times New Roman"/>
                <w:b w:val="0"/>
                <w:bCs w:val="0"/>
                <w:color w:val="auto"/>
                <w:kern w:val="16"/>
                <w:sz w:val="24"/>
                <w:szCs w:val="24"/>
                <w:lang w:val="en-US" w:eastAsia="zh-CN" w:bidi="ar-SA"/>
              </w:rPr>
              <w:t>。</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left"/>
              <w:textAlignment w:val="auto"/>
              <w:rPr>
                <w:rFonts w:hint="default" w:ascii="Times New Roman" w:hAnsi="Times New Roman" w:eastAsia="方正仿宋_GB2312" w:cs="Times New Roman"/>
                <w:b/>
                <w:bCs/>
                <w:color w:val="auto"/>
                <w:sz w:val="24"/>
                <w:szCs w:val="24"/>
                <w:lang w:val="en-US" w:eastAsia="zh-CN"/>
              </w:rPr>
            </w:pPr>
            <w:r>
              <w:rPr>
                <w:rFonts w:hint="default" w:ascii="Times New Roman" w:hAnsi="Times New Roman" w:eastAsia="方正仿宋_GB2312" w:cs="Times New Roman"/>
                <w:b/>
                <w:bCs/>
                <w:color w:val="auto"/>
                <w:sz w:val="24"/>
                <w:szCs w:val="24"/>
                <w:lang w:val="en-US" w:eastAsia="zh-CN"/>
              </w:rPr>
              <w:t>（</w:t>
            </w:r>
            <w:r>
              <w:rPr>
                <w:rFonts w:hint="eastAsia" w:ascii="Times New Roman" w:hAnsi="Times New Roman" w:eastAsia="方正仿宋_GB2312" w:cs="Times New Roman"/>
                <w:b/>
                <w:bCs/>
                <w:color w:val="auto"/>
                <w:sz w:val="24"/>
                <w:szCs w:val="24"/>
                <w:lang w:val="en-US" w:eastAsia="zh-CN"/>
              </w:rPr>
              <w:t>1</w:t>
            </w:r>
            <w:r>
              <w:rPr>
                <w:rFonts w:hint="default" w:ascii="Times New Roman" w:hAnsi="Times New Roman" w:eastAsia="方正仿宋_GB2312" w:cs="Times New Roman"/>
                <w:b/>
                <w:bCs/>
                <w:color w:val="auto"/>
                <w:sz w:val="24"/>
                <w:szCs w:val="24"/>
                <w:lang w:val="en-US" w:eastAsia="zh-CN"/>
              </w:rPr>
              <w:t>）</w:t>
            </w:r>
            <w:r>
              <w:rPr>
                <w:rFonts w:hint="eastAsia" w:ascii="Times New Roman" w:hAnsi="Times New Roman" w:eastAsia="方正仿宋_GB2312" w:cs="Times New Roman"/>
                <w:b/>
                <w:bCs/>
                <w:color w:val="auto"/>
                <w:sz w:val="24"/>
                <w:szCs w:val="24"/>
                <w:lang w:val="en-US" w:eastAsia="zh-CN"/>
              </w:rPr>
              <w:t>临时堆料场</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仿宋" w:cs="Times New Roman"/>
                <w:b w:val="0"/>
                <w:bCs w:val="0"/>
                <w:color w:val="auto"/>
                <w:kern w:val="16"/>
                <w:sz w:val="24"/>
                <w:szCs w:val="24"/>
                <w:lang w:val="en-US" w:eastAsia="zh-CN" w:bidi="ar-SA"/>
              </w:rPr>
            </w:pPr>
            <w:r>
              <w:rPr>
                <w:rFonts w:hint="default" w:ascii="Times New Roman" w:hAnsi="Times New Roman" w:eastAsia="仿宋" w:cs="Times New Roman"/>
                <w:b w:val="0"/>
                <w:bCs w:val="0"/>
                <w:color w:val="auto"/>
                <w:kern w:val="16"/>
                <w:sz w:val="24"/>
                <w:szCs w:val="24"/>
                <w:lang w:val="en-US" w:eastAsia="zh-CN" w:bidi="ar-SA"/>
              </w:rPr>
              <w:t>因现场使用商品混凝土，风电场工程临时堆料场总占地约为</w:t>
            </w:r>
            <w:r>
              <w:rPr>
                <w:rFonts w:hint="eastAsia" w:eastAsia="仿宋" w:cs="Times New Roman"/>
                <w:b w:val="0"/>
                <w:bCs w:val="0"/>
                <w:color w:val="auto"/>
                <w:kern w:val="16"/>
                <w:sz w:val="24"/>
                <w:szCs w:val="24"/>
                <w:lang w:val="en-US" w:eastAsia="zh-CN" w:bidi="ar-SA"/>
              </w:rPr>
              <w:t>25000</w:t>
            </w:r>
            <w:r>
              <w:rPr>
                <w:rFonts w:hint="default" w:ascii="Times New Roman" w:hAnsi="Times New Roman" w:eastAsia="仿宋" w:cs="Times New Roman"/>
                <w:b w:val="0"/>
                <w:bCs w:val="0"/>
                <w:color w:val="auto"/>
                <w:kern w:val="16"/>
                <w:sz w:val="24"/>
                <w:szCs w:val="24"/>
                <w:lang w:val="en-US" w:eastAsia="zh-CN" w:bidi="ar-SA"/>
              </w:rPr>
              <w:t>m</w:t>
            </w:r>
            <w:r>
              <w:rPr>
                <w:rFonts w:hint="default" w:ascii="Times New Roman" w:hAnsi="Times New Roman" w:eastAsia="仿宋" w:cs="Times New Roman"/>
                <w:b w:val="0"/>
                <w:bCs w:val="0"/>
                <w:color w:val="auto"/>
                <w:kern w:val="16"/>
                <w:sz w:val="24"/>
                <w:szCs w:val="24"/>
                <w:vertAlign w:val="superscript"/>
                <w:lang w:val="en-US" w:eastAsia="zh-CN" w:bidi="ar-SA"/>
              </w:rPr>
              <w:t>2</w:t>
            </w:r>
            <w:r>
              <w:rPr>
                <w:rFonts w:hint="default" w:ascii="Times New Roman" w:hAnsi="Times New Roman" w:eastAsia="仿宋" w:cs="Times New Roman"/>
                <w:b w:val="0"/>
                <w:bCs w:val="0"/>
                <w:color w:val="auto"/>
                <w:kern w:val="16"/>
                <w:sz w:val="24"/>
                <w:szCs w:val="24"/>
                <w:lang w:val="en-US" w:eastAsia="zh-CN" w:bidi="ar-SA"/>
              </w:rPr>
              <w:t>。堆高 3～4m。砂石料堆场采用厚 10cm 的 C15 混凝土地坪，下设10cm 厚碎石垫层，砂石料堆场设 0.5%排水坡度的排水沟，储备少量砂</w:t>
            </w:r>
            <w:r>
              <w:rPr>
                <w:rFonts w:hint="eastAsia" w:ascii="Times New Roman" w:hAnsi="Times New Roman" w:eastAsia="仿宋" w:cs="Times New Roman"/>
                <w:b w:val="0"/>
                <w:bCs w:val="0"/>
                <w:color w:val="auto"/>
                <w:kern w:val="16"/>
                <w:sz w:val="24"/>
                <w:szCs w:val="24"/>
                <w:lang w:val="en-US" w:eastAsia="zh-CN" w:bidi="ar-SA"/>
              </w:rPr>
              <w:t>石料</w:t>
            </w:r>
            <w:r>
              <w:rPr>
                <w:rFonts w:hint="default" w:ascii="Times New Roman" w:hAnsi="Times New Roman" w:eastAsia="仿宋" w:cs="Times New Roman"/>
                <w:b w:val="0"/>
                <w:bCs w:val="0"/>
                <w:color w:val="auto"/>
                <w:kern w:val="16"/>
                <w:sz w:val="24"/>
                <w:szCs w:val="24"/>
                <w:lang w:val="en-US" w:eastAsia="zh-CN" w:bidi="ar-SA"/>
              </w:rPr>
              <w:t>。</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left"/>
              <w:textAlignment w:val="auto"/>
              <w:rPr>
                <w:rFonts w:hint="default" w:ascii="Times New Roman" w:hAnsi="Times New Roman" w:eastAsia="方正仿宋_GB2312" w:cs="Times New Roman"/>
                <w:b/>
                <w:bCs/>
                <w:color w:val="auto"/>
                <w:sz w:val="24"/>
                <w:szCs w:val="24"/>
                <w:lang w:val="en-US" w:eastAsia="zh-CN"/>
              </w:rPr>
            </w:pPr>
            <w:r>
              <w:rPr>
                <w:rFonts w:hint="default" w:ascii="Times New Roman" w:hAnsi="Times New Roman" w:eastAsia="方正仿宋_GB2312" w:cs="Times New Roman"/>
                <w:b/>
                <w:bCs/>
                <w:color w:val="auto"/>
                <w:sz w:val="24"/>
                <w:szCs w:val="24"/>
                <w:lang w:val="en-US" w:eastAsia="zh-CN"/>
              </w:rPr>
              <w:t>（</w:t>
            </w:r>
            <w:r>
              <w:rPr>
                <w:rFonts w:hint="eastAsia" w:ascii="Times New Roman" w:hAnsi="Times New Roman" w:eastAsia="方正仿宋_GB2312" w:cs="Times New Roman"/>
                <w:b/>
                <w:bCs/>
                <w:color w:val="auto"/>
                <w:sz w:val="24"/>
                <w:szCs w:val="24"/>
                <w:lang w:val="en-US" w:eastAsia="zh-CN"/>
              </w:rPr>
              <w:t>2</w:t>
            </w:r>
            <w:r>
              <w:rPr>
                <w:rFonts w:hint="default" w:ascii="Times New Roman" w:hAnsi="Times New Roman" w:eastAsia="方正仿宋_GB2312" w:cs="Times New Roman"/>
                <w:b/>
                <w:bCs/>
                <w:color w:val="auto"/>
                <w:sz w:val="24"/>
                <w:szCs w:val="24"/>
                <w:lang w:val="en-US" w:eastAsia="zh-CN"/>
              </w:rPr>
              <w:t>）综合加工厂</w:t>
            </w:r>
            <w:r>
              <w:rPr>
                <w:rFonts w:hint="eastAsia" w:ascii="Times New Roman" w:hAnsi="Times New Roman" w:eastAsia="方正仿宋_GB2312" w:cs="Times New Roman"/>
                <w:b/>
                <w:bCs/>
                <w:color w:val="auto"/>
                <w:sz w:val="24"/>
                <w:szCs w:val="24"/>
                <w:lang w:val="en-US" w:eastAsia="zh-CN"/>
              </w:rPr>
              <w:t>、</w:t>
            </w:r>
            <w:r>
              <w:rPr>
                <w:rFonts w:hint="default" w:ascii="Times New Roman" w:hAnsi="Times New Roman" w:eastAsia="方正仿宋_GB2312" w:cs="Times New Roman"/>
                <w:b/>
                <w:bCs/>
                <w:color w:val="auto"/>
                <w:sz w:val="24"/>
                <w:szCs w:val="24"/>
                <w:lang w:val="en-US" w:eastAsia="zh-CN"/>
              </w:rPr>
              <w:t>仓库</w:t>
            </w:r>
            <w:r>
              <w:rPr>
                <w:rFonts w:hint="eastAsia" w:ascii="Times New Roman" w:hAnsi="Times New Roman" w:eastAsia="方正仿宋_GB2312" w:cs="Times New Roman"/>
                <w:b/>
                <w:bCs/>
                <w:color w:val="auto"/>
                <w:sz w:val="24"/>
                <w:szCs w:val="24"/>
                <w:lang w:val="en-US" w:eastAsia="zh-CN"/>
              </w:rPr>
              <w:t>及机械停放场地</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方正仿宋_GB2312" w:cs="Times New Roman"/>
                <w:b w:val="0"/>
                <w:bCs w:val="0"/>
                <w:color w:val="auto"/>
                <w:kern w:val="2"/>
                <w:sz w:val="24"/>
                <w:szCs w:val="24"/>
                <w:lang w:val="en-US" w:eastAsia="zh-CN" w:bidi="zh-CN"/>
              </w:rPr>
            </w:pPr>
            <w:r>
              <w:rPr>
                <w:rFonts w:hint="default" w:ascii="Times New Roman" w:hAnsi="Times New Roman" w:eastAsia="仿宋" w:cs="Times New Roman"/>
                <w:b w:val="0"/>
                <w:bCs w:val="0"/>
                <w:color w:val="auto"/>
                <w:kern w:val="16"/>
                <w:sz w:val="24"/>
                <w:szCs w:val="24"/>
                <w:lang w:val="en-US" w:eastAsia="zh-CN" w:bidi="ar-SA"/>
              </w:rPr>
              <w:t xml:space="preserve">本工程部分辅助企业可充分利用当地的资源。由于预埋件采取在当地采购的方式，现场不再另外设置混凝土预制件厂，仅设置机械修配厂及综合加工系统(包括钢筋加工厂、木材加工厂)。根据施工总布置的安排以及混凝土浇筑进度要求，为减少设备配置，提高施工效率，本工程混凝土采用购买商品混凝土，商品混凝土在海原县商混站采购，距离均在 20km 左右。现场施工应协调商混搅拌站保证风机基础混凝土连续浇筑，总占地面积 </w:t>
            </w:r>
            <w:r>
              <w:rPr>
                <w:rFonts w:hint="eastAsia" w:eastAsia="仿宋" w:cs="Times New Roman"/>
                <w:b w:val="0"/>
                <w:bCs w:val="0"/>
                <w:color w:val="auto"/>
                <w:kern w:val="16"/>
                <w:sz w:val="24"/>
                <w:szCs w:val="24"/>
                <w:lang w:val="en-US" w:eastAsia="zh-CN" w:bidi="ar-SA"/>
              </w:rPr>
              <w:t>26000</w:t>
            </w:r>
            <w:r>
              <w:rPr>
                <w:rFonts w:hint="default" w:ascii="Times New Roman" w:hAnsi="Times New Roman" w:eastAsia="仿宋" w:cs="Times New Roman"/>
                <w:b w:val="0"/>
                <w:bCs w:val="0"/>
                <w:color w:val="auto"/>
                <w:kern w:val="16"/>
                <w:sz w:val="24"/>
                <w:szCs w:val="24"/>
                <w:lang w:val="en-US" w:eastAsia="zh-CN" w:bidi="ar-SA"/>
              </w:rPr>
              <w:t>m</w:t>
            </w:r>
            <w:r>
              <w:rPr>
                <w:rFonts w:hint="default" w:ascii="Times New Roman" w:hAnsi="Times New Roman" w:eastAsia="仿宋" w:cs="Times New Roman"/>
                <w:b w:val="0"/>
                <w:bCs w:val="0"/>
                <w:color w:val="auto"/>
                <w:kern w:val="16"/>
                <w:sz w:val="24"/>
                <w:szCs w:val="24"/>
                <w:vertAlign w:val="superscript"/>
                <w:lang w:val="en-US" w:eastAsia="zh-CN" w:bidi="ar-SA"/>
              </w:rPr>
              <w:t>2</w:t>
            </w:r>
            <w:r>
              <w:rPr>
                <w:rFonts w:hint="default" w:ascii="Times New Roman" w:hAnsi="Times New Roman" w:eastAsia="仿宋" w:cs="Times New Roman"/>
                <w:b w:val="0"/>
                <w:bCs w:val="0"/>
                <w:color w:val="auto"/>
                <w:kern w:val="16"/>
                <w:sz w:val="24"/>
                <w:szCs w:val="24"/>
                <w:lang w:val="en-US" w:eastAsia="zh-CN" w:bidi="ar-SA"/>
              </w:rPr>
              <w:t>。机械修配场主要承担施工机械的小修及简单零件和金属构件的加工任务，大中修理则由海原县相关企业承担。</w:t>
            </w:r>
          </w:p>
          <w:p>
            <w:pPr>
              <w:pStyle w:val="10"/>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jc w:val="left"/>
              <w:textAlignment w:val="auto"/>
              <w:rPr>
                <w:rFonts w:hint="default" w:ascii="Times New Roman" w:hAnsi="Times New Roman" w:eastAsia="方正仿宋_GB2312" w:cs="Times New Roman"/>
                <w:b/>
                <w:bCs/>
                <w:color w:val="auto"/>
                <w:sz w:val="24"/>
                <w:szCs w:val="24"/>
                <w:lang w:val="en-US" w:eastAsia="zh-CN"/>
              </w:rPr>
            </w:pPr>
            <w:r>
              <w:rPr>
                <w:rFonts w:hint="default" w:ascii="Times New Roman" w:hAnsi="Times New Roman" w:eastAsia="方正仿宋_GB2312" w:cs="Times New Roman"/>
                <w:b/>
                <w:bCs/>
                <w:color w:val="auto"/>
                <w:sz w:val="24"/>
                <w:szCs w:val="24"/>
                <w:lang w:val="en-US" w:eastAsia="zh-CN"/>
              </w:rPr>
              <w:t>（</w:t>
            </w:r>
            <w:r>
              <w:rPr>
                <w:rFonts w:hint="eastAsia" w:ascii="Times New Roman" w:hAnsi="Times New Roman" w:eastAsia="方正仿宋_GB2312" w:cs="Times New Roman"/>
                <w:b/>
                <w:bCs/>
                <w:color w:val="auto"/>
                <w:sz w:val="24"/>
                <w:szCs w:val="24"/>
                <w:lang w:val="en-US" w:eastAsia="zh-CN"/>
              </w:rPr>
              <w:t>3</w:t>
            </w:r>
            <w:r>
              <w:rPr>
                <w:rFonts w:hint="default" w:ascii="Times New Roman" w:hAnsi="Times New Roman" w:eastAsia="方正仿宋_GB2312" w:cs="Times New Roman"/>
                <w:b/>
                <w:bCs/>
                <w:color w:val="auto"/>
                <w:sz w:val="24"/>
                <w:szCs w:val="24"/>
                <w:lang w:val="en-US" w:eastAsia="zh-CN"/>
              </w:rPr>
              <w:t>）</w:t>
            </w:r>
            <w:r>
              <w:rPr>
                <w:rFonts w:hint="eastAsia" w:ascii="Times New Roman" w:hAnsi="Times New Roman" w:eastAsia="方正仿宋_GB2312" w:cs="Times New Roman"/>
                <w:b/>
                <w:bCs/>
                <w:color w:val="auto"/>
                <w:sz w:val="24"/>
                <w:szCs w:val="24"/>
                <w:lang w:val="en-US" w:eastAsia="zh-CN"/>
              </w:rPr>
              <w:t>临时办公生活区</w:t>
            </w:r>
          </w:p>
          <w:p>
            <w:pPr>
              <w:pStyle w:val="49"/>
              <w:bidi w:val="0"/>
              <w:ind w:left="0" w:leftChars="0" w:firstLine="480" w:firstLineChars="200"/>
              <w:rPr>
                <w:rFonts w:hint="default" w:cs="Times New Roman"/>
                <w:b/>
                <w:bCs/>
                <w:color w:val="auto"/>
                <w:lang w:val="en-US" w:eastAsia="zh-CN"/>
              </w:rPr>
            </w:pPr>
            <w:r>
              <w:rPr>
                <w:rFonts w:hint="eastAsia" w:ascii="Times New Roman" w:hAnsi="Times New Roman" w:eastAsia="仿宋" w:cs="Times New Roman"/>
                <w:b w:val="0"/>
                <w:bCs w:val="0"/>
                <w:color w:val="auto"/>
                <w:kern w:val="16"/>
                <w:sz w:val="24"/>
                <w:szCs w:val="24"/>
                <w:lang w:val="en-US" w:eastAsia="zh-CN" w:bidi="ar-SA"/>
              </w:rPr>
              <w:t>设置在施工区的上风向，用于施工人员生活办公，占地面积</w:t>
            </w:r>
            <w:r>
              <w:rPr>
                <w:rFonts w:hint="eastAsia" w:eastAsia="仿宋" w:cs="Times New Roman"/>
                <w:b w:val="0"/>
                <w:bCs w:val="0"/>
                <w:color w:val="auto"/>
                <w:kern w:val="16"/>
                <w:sz w:val="24"/>
                <w:szCs w:val="24"/>
                <w:lang w:val="en-US" w:eastAsia="zh-CN" w:bidi="ar-SA"/>
              </w:rPr>
              <w:t>9000</w:t>
            </w:r>
            <w:r>
              <w:rPr>
                <w:rFonts w:hint="eastAsia" w:ascii="Times New Roman" w:hAnsi="Times New Roman" w:eastAsia="仿宋" w:cs="Times New Roman"/>
                <w:b w:val="0"/>
                <w:bCs w:val="0"/>
                <w:color w:val="auto"/>
                <w:kern w:val="16"/>
                <w:sz w:val="24"/>
                <w:szCs w:val="24"/>
                <w:lang w:val="en-US" w:eastAsia="zh-CN" w:bidi="ar-SA"/>
              </w:rPr>
              <w:t>m</w:t>
            </w:r>
            <w:r>
              <w:rPr>
                <w:rFonts w:hint="eastAsia" w:ascii="Times New Roman" w:hAnsi="Times New Roman" w:eastAsia="仿宋" w:cs="Times New Roman"/>
                <w:b w:val="0"/>
                <w:bCs w:val="0"/>
                <w:color w:val="auto"/>
                <w:kern w:val="16"/>
                <w:sz w:val="24"/>
                <w:szCs w:val="24"/>
                <w:vertAlign w:val="superscript"/>
                <w:lang w:val="en-US" w:eastAsia="zh-CN" w:bidi="ar-SA"/>
              </w:rPr>
              <w:t>2</w:t>
            </w:r>
            <w:r>
              <w:rPr>
                <w:rFonts w:hint="eastAsia" w:ascii="Times New Roman" w:hAnsi="Times New Roman" w:eastAsia="仿宋" w:cs="Times New Roman"/>
                <w:b w:val="0"/>
                <w:bCs w:val="0"/>
                <w:color w:val="auto"/>
                <w:kern w:val="16"/>
                <w:sz w:val="24"/>
                <w:szCs w:val="24"/>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23"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总平面及现场布置</w:t>
            </w:r>
          </w:p>
        </w:tc>
        <w:tc>
          <w:tcPr>
            <w:tcW w:w="86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25"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施工方案</w:t>
            </w:r>
          </w:p>
        </w:tc>
        <w:tc>
          <w:tcPr>
            <w:tcW w:w="8643" w:type="dxa"/>
            <w:vMerge w:val="restart"/>
            <w:tcBorders>
              <w:tl2br w:val="nil"/>
              <w:tr2bl w:val="nil"/>
            </w:tcBorders>
            <w:vAlign w:val="center"/>
          </w:tcPr>
          <w:p>
            <w:pPr>
              <w:pStyle w:val="49"/>
              <w:bidi w:val="0"/>
              <w:rPr>
                <w:rFonts w:hint="eastAsia" w:ascii="Times New Roman" w:hAnsi="Times New Roman" w:cs="Times New Roman"/>
                <w:b/>
                <w:bCs/>
                <w:color w:val="auto"/>
                <w:lang w:val="en-US" w:eastAsia="zh-CN"/>
              </w:rPr>
            </w:pPr>
            <w:r>
              <w:rPr>
                <w:rFonts w:hint="eastAsia" w:cs="Times New Roman"/>
                <w:b/>
                <w:bCs/>
                <w:color w:val="auto"/>
                <w:lang w:val="en-US" w:eastAsia="zh-CN"/>
              </w:rPr>
              <w:t>一、</w:t>
            </w:r>
            <w:r>
              <w:rPr>
                <w:rFonts w:hint="eastAsia" w:ascii="Times New Roman" w:hAnsi="Times New Roman" w:cs="Times New Roman"/>
                <w:b/>
                <w:bCs/>
                <w:color w:val="auto"/>
                <w:lang w:val="en-US" w:eastAsia="zh-CN"/>
              </w:rPr>
              <w:t>施工工艺</w:t>
            </w:r>
          </w:p>
          <w:p>
            <w:pPr>
              <w:pStyle w:val="49"/>
              <w:bidi w:val="0"/>
              <w:rPr>
                <w:rFonts w:hint="eastAsia" w:ascii="Times New Roman" w:hAnsi="Times New Roman" w:cs="Times New Roman"/>
                <w:b/>
                <w:bCs/>
                <w:color w:val="auto"/>
                <w:lang w:val="en-US" w:eastAsia="zh-CN"/>
              </w:rPr>
            </w:pPr>
            <w:r>
              <w:rPr>
                <w:rFonts w:hint="eastAsia" w:cs="Times New Roman"/>
                <w:b/>
                <w:bCs/>
                <w:color w:val="auto"/>
                <w:lang w:val="en-US" w:eastAsia="zh-CN"/>
              </w:rPr>
              <w:t>1.</w:t>
            </w:r>
            <w:r>
              <w:rPr>
                <w:rFonts w:hint="eastAsia" w:ascii="Times New Roman" w:hAnsi="Times New Roman" w:cs="Times New Roman"/>
                <w:b/>
                <w:bCs/>
                <w:color w:val="auto"/>
                <w:lang w:val="en-US" w:eastAsia="zh-CN"/>
              </w:rPr>
              <w:t>风力发电场建设</w:t>
            </w:r>
            <w:r>
              <w:rPr>
                <w:rFonts w:hint="eastAsia" w:cs="Times New Roman"/>
                <w:b/>
                <w:bCs/>
                <w:color w:val="auto"/>
                <w:lang w:val="en-US" w:eastAsia="zh-CN"/>
              </w:rPr>
              <w:t>工艺流程</w:t>
            </w:r>
          </w:p>
          <w:p>
            <w:pPr>
              <w:pStyle w:val="49"/>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建设过程可分为前期准备、建筑施工和营运期三个阶段，前期准备阶段主要为施工前期准备及方案、工程设计和征地等，施工阶段分为场地平整、基础工程、主体工程施工；待竣工验收施工期结束，进入营运期。施工流程</w:t>
            </w:r>
            <w:r>
              <w:rPr>
                <w:rFonts w:hint="eastAsia" w:ascii="Times New Roman" w:hAnsi="Times New Roman" w:cs="Times New Roman"/>
                <w:color w:val="auto"/>
                <w:highlight w:val="none"/>
                <w:lang w:val="en-US" w:eastAsia="zh-CN"/>
              </w:rPr>
              <w:t>见图1。</w:t>
            </w:r>
          </w:p>
          <w:p>
            <w:pPr>
              <w:pStyle w:val="49"/>
              <w:bidi w:val="0"/>
              <w:spacing w:line="240" w:lineRule="auto"/>
              <w:rPr>
                <w:rFonts w:hint="eastAsia" w:ascii="Times New Roman" w:hAnsi="Times New Roman" w:eastAsia="宋体" w:cs="Times New Roman"/>
                <w:b/>
                <w:color w:val="auto"/>
                <w:kern w:val="2"/>
                <w:sz w:val="24"/>
                <w:szCs w:val="20"/>
                <w:lang w:val="en-US" w:eastAsia="zh-CN" w:bidi="ar-SA"/>
              </w:rPr>
            </w:pPr>
            <w:r>
              <w:rPr>
                <w:sz w:val="24"/>
              </w:rPr>
              <mc:AlternateContent>
                <mc:Choice Requires="wps">
                  <w:drawing>
                    <wp:anchor distT="0" distB="0" distL="114300" distR="114300" simplePos="0" relativeHeight="251659264" behindDoc="0" locked="0" layoutInCell="1" allowOverlap="1">
                      <wp:simplePos x="0" y="0"/>
                      <wp:positionH relativeFrom="column">
                        <wp:posOffset>2794000</wp:posOffset>
                      </wp:positionH>
                      <wp:positionV relativeFrom="paragraph">
                        <wp:posOffset>2406015</wp:posOffset>
                      </wp:positionV>
                      <wp:extent cx="1276350" cy="285750"/>
                      <wp:effectExtent l="0" t="0" r="0" b="0"/>
                      <wp:wrapNone/>
                      <wp:docPr id="2" name="文本框 2"/>
                      <wp:cNvGraphicFramePr/>
                      <a:graphic xmlns:a="http://schemas.openxmlformats.org/drawingml/2006/main">
                        <a:graphicData uri="http://schemas.microsoft.com/office/word/2010/wordprocessingShape">
                          <wps:wsp>
                            <wps:cNvSpPr txBox="1"/>
                            <wps:spPr>
                              <a:xfrm>
                                <a:off x="4180840" y="5076190"/>
                                <a:ext cx="1276350" cy="28575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24"/>
                                      <w:szCs w:val="24"/>
                                      <w:lang w:eastAsia="zh-CN"/>
                                    </w:rPr>
                                  </w:pPr>
                                  <w:r>
                                    <w:rPr>
                                      <w:rFonts w:hint="eastAsia" w:ascii="黑体" w:hAnsi="黑体" w:eastAsia="黑体" w:cs="黑体"/>
                                      <w:sz w:val="24"/>
                                      <w:szCs w:val="24"/>
                                      <w:lang w:eastAsia="zh-CN"/>
                                    </w:rPr>
                                    <w:t>风机、箱变基础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pt;margin-top:189.45pt;height:22.5pt;width:100.5pt;z-index:251659264;mso-width-relative:page;mso-height-relative:page;" fillcolor="#FFFFFF [3212]" filled="t" stroked="f" coordsize="21600,21600" o:gfxdata="UEsDBAoAAAAAAIdO4kAAAAAAAAAAAAAAAAAEAAAAZHJzL1BLAwQUAAAACACHTuJArjX8VtcAAAAL&#10;AQAADwAAAGRycy9kb3ducmV2LnhtbE2PzU7DMBCE70i8g7WVuFE7bVTaEKcHJK5ItKVnN17iqPY6&#10;it3fp2c5wXFnRrPf1Otr8OKMY+ojaSimCgRSG21PnYbd9v15CSJlQ9b4SKjhhgnWzeNDbSobL/SJ&#10;503uBJdQqowGl/NQSZlah8GkaRyQ2PuOYzCZz7GTdjQXLg9ezpRayGB64g/ODPjmsD1uTkHDvgv3&#10;/VcxjM4GX9LH/bbdxV7rp0mhXkFkvOa/MPziMzo0zHSIJ7JJeA1lqXhL1jB/Wa5AcGJRFqwc2JrN&#10;VyCbWv7f0PwAUEsDBBQAAAAIAIdO4kAowCq9VwIAAJsEAAAOAAAAZHJzL2Uyb0RvYy54bWytVM1u&#10;EzEQviPxDpbvZJMlf426qUKrIKSIViqIs+P1Zi3ZHmM72Q0PAG/AiQt3nqvPwdi7aUvh0AM5bMae&#10;2W/m+2Zmzy9archBOC/BFHQ0GFIiDIdSml1BP35Yv5pT4gMzJVNgREGPwtOL5csX541diBxqUKVw&#10;BEGMXzS2oHUIdpFlntdCMz8AKww6K3CaBTy6XVY61iC6Vlk+HE6zBlxpHXDhPd5edU7aI7rnAEJV&#10;SS6ugO+1MKFDdUKxgJR8La2ny1RtVQkerqvKi0BUQZFpSE9MgvY2PrPlOVvsHLO15H0J7DklPOGk&#10;mTSY9B7qigVG9k7+BaUld+ChCgMOOuuIJEWQxWj4RJvbmlmRuKDU3t6L7v8fLH9/uHFElgXNKTFM&#10;Y8Pvvn+7+/Hr7udXkkd5GusXGHVrMS60b6DFoTnde7yMrNvK6fiPfAj6x6P5cD5GiY8FnQxn09FZ&#10;L7RoA+ERIJ9NX08wgGNEPp/M0MZU2QOSdT68FaBJNArqsJFJX3bY+NCFnkJiYg9KlmupVDq43fZS&#10;OXJg2PR1+vXof4QpQ5qCpjriWwbi+x20MlhMJN4RjFZot22vxhbKI4rhoJsmb/laYpUb5sMNczg+&#10;SAwXLFzjo1KASaC3KKnBffnXfYzHrqKXkgbHsaD+8545QYl6Z7DfZ6NxFDSkw3gyy/HgHnu2jz1m&#10;ry8ByY9wlS1PZowP6mRWDvQn3MNVzIouZjjmLmg4mZehWxLcYy5WqxSEE2tZ2JhbyyN0J9pqH6CS&#10;qSVRpk6bXj2c2dTUfr/iUjw+p6iHb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41/FbXAAAA&#10;CwEAAA8AAAAAAAAAAQAgAAAAIgAAAGRycy9kb3ducmV2LnhtbFBLAQIUABQAAAAIAIdO4kAowCq9&#10;VwIAAJsEAAAOAAAAAAAAAAEAIAAAACYBAABkcnMvZTJvRG9jLnhtbFBLBQYAAAAABgAGAFkBAADv&#10;BQAAAAA=&#10;">
                      <v:fill on="t" focussize="0,0"/>
                      <v:stroke on="f" weight="0.5pt"/>
                      <v:imagedata o:title=""/>
                      <o:lock v:ext="edit" aspectratio="f"/>
                      <v:textbox>
                        <w:txbxContent>
                          <w:p>
                            <w:pPr>
                              <w:rPr>
                                <w:rFonts w:hint="eastAsia" w:ascii="黑体" w:hAnsi="黑体" w:eastAsia="黑体" w:cs="黑体"/>
                                <w:sz w:val="24"/>
                                <w:szCs w:val="24"/>
                                <w:lang w:eastAsia="zh-CN"/>
                              </w:rPr>
                            </w:pPr>
                            <w:r>
                              <w:rPr>
                                <w:rFonts w:hint="eastAsia" w:ascii="黑体" w:hAnsi="黑体" w:eastAsia="黑体" w:cs="黑体"/>
                                <w:sz w:val="24"/>
                                <w:szCs w:val="24"/>
                                <w:lang w:eastAsia="zh-CN"/>
                              </w:rPr>
                              <w:t>风机、箱变基础</w:t>
                            </w:r>
                          </w:p>
                        </w:txbxContent>
                      </v:textbox>
                    </v:shape>
                  </w:pict>
                </mc:Fallback>
              </mc:AlternateContent>
            </w:r>
            <w:r>
              <w:rPr>
                <w:rFonts w:hint="eastAsia" w:ascii="Times New Roman" w:hAnsi="Times New Roman" w:eastAsia="宋体" w:cs="Times New Roman"/>
                <w:b/>
                <w:color w:val="auto"/>
                <w:kern w:val="2"/>
                <w:sz w:val="24"/>
                <w:szCs w:val="20"/>
                <w:lang w:val="en-US" w:eastAsia="zh-CN" w:bidi="ar-SA"/>
              </w:rPr>
              <w:t xml:space="preserve"> </w:t>
            </w:r>
            <w:r>
              <w:rPr>
                <w:rFonts w:hint="eastAsia" w:ascii="Times New Roman" w:hAnsi="Times New Roman" w:eastAsia="宋体" w:cs="Times New Roman"/>
                <w:b/>
                <w:color w:val="auto"/>
                <w:kern w:val="2"/>
                <w:sz w:val="24"/>
                <w:szCs w:val="20"/>
                <w:lang w:val="en-US" w:eastAsia="zh-CN" w:bidi="ar-SA"/>
              </w:rPr>
              <w:drawing>
                <wp:inline distT="0" distB="0" distL="114300" distR="114300">
                  <wp:extent cx="4403725" cy="5158740"/>
                  <wp:effectExtent l="0" t="0" r="15875" b="3810"/>
                  <wp:docPr id="3" name="图片 2" descr="C:/Users/Administrator/AppData/Local/Temp/绘图1(1).png绘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AppData/Local/Temp/绘图1(1).png绘图1(1)"/>
                          <pic:cNvPicPr>
                            <a:picLocks noChangeAspect="1"/>
                          </pic:cNvPicPr>
                        </pic:nvPicPr>
                        <pic:blipFill>
                          <a:blip r:embed="rId15"/>
                          <a:stretch>
                            <a:fillRect/>
                          </a:stretch>
                        </pic:blipFill>
                        <pic:spPr>
                          <a:xfrm>
                            <a:off x="0" y="0"/>
                            <a:ext cx="4403725" cy="5158740"/>
                          </a:xfrm>
                          <a:prstGeom prst="rect">
                            <a:avLst/>
                          </a:prstGeom>
                          <a:noFill/>
                          <a:ln>
                            <a:noFill/>
                          </a:ln>
                        </pic:spPr>
                      </pic:pic>
                    </a:graphicData>
                  </a:graphic>
                </wp:inline>
              </w:drawing>
            </w:r>
          </w:p>
          <w:p>
            <w:pPr>
              <w:pStyle w:val="49"/>
              <w:bidi w:val="0"/>
              <w:spacing w:line="360" w:lineRule="auto"/>
              <w:ind w:left="0" w:leftChars="0" w:firstLine="0" w:firstLineChars="0"/>
              <w:jc w:val="center"/>
              <w:rPr>
                <w:rFonts w:hint="eastAsia" w:ascii="Times New Roman" w:hAnsi="Times New Roman" w:eastAsia="宋体" w:cs="Times New Roman"/>
                <w:b/>
                <w:color w:val="auto"/>
                <w:kern w:val="2"/>
                <w:sz w:val="24"/>
                <w:szCs w:val="20"/>
                <w:highlight w:val="none"/>
                <w:lang w:val="en-US" w:eastAsia="zh-CN" w:bidi="ar-SA"/>
              </w:rPr>
            </w:pPr>
            <w:r>
              <w:rPr>
                <w:rFonts w:hint="eastAsia" w:ascii="Times New Roman" w:hAnsi="Times New Roman" w:eastAsia="宋体" w:cs="Times New Roman"/>
                <w:b/>
                <w:color w:val="auto"/>
                <w:kern w:val="2"/>
                <w:sz w:val="24"/>
                <w:szCs w:val="20"/>
                <w:highlight w:val="none"/>
                <w:lang w:val="en-US" w:eastAsia="zh-CN" w:bidi="ar-SA"/>
              </w:rPr>
              <w:t>图1 本项目施工流程图</w:t>
            </w:r>
          </w:p>
          <w:p>
            <w:pPr>
              <w:pStyle w:val="49"/>
              <w:bidi w:val="0"/>
              <w:spacing w:line="360" w:lineRule="auto"/>
              <w:rPr>
                <w:rFonts w:hint="default"/>
                <w:b/>
                <w:bCs/>
                <w:color w:val="auto"/>
                <w:lang w:val="en-US" w:eastAsia="zh-CN"/>
              </w:rPr>
            </w:pPr>
            <w:r>
              <w:rPr>
                <w:rFonts w:hint="eastAsia"/>
                <w:b/>
                <w:bCs/>
                <w:color w:val="auto"/>
                <w:lang w:val="en-US" w:eastAsia="zh-CN"/>
              </w:rPr>
              <w:t>2.工艺流程简述</w:t>
            </w:r>
          </w:p>
          <w:p>
            <w:pPr>
              <w:pStyle w:val="49"/>
              <w:bidi w:val="0"/>
              <w:spacing w:line="360" w:lineRule="auto"/>
              <w:rPr>
                <w:rFonts w:hint="default"/>
                <w:b/>
                <w:bCs/>
                <w:color w:val="auto"/>
                <w:lang w:val="en-US" w:eastAsia="zh-CN"/>
              </w:rPr>
            </w:pPr>
            <w:r>
              <w:rPr>
                <w:rFonts w:hint="eastAsia"/>
                <w:b/>
                <w:bCs/>
                <w:color w:val="auto"/>
                <w:lang w:val="en-US" w:eastAsia="zh-CN"/>
              </w:rPr>
              <w:t>（1）</w:t>
            </w:r>
            <w:r>
              <w:rPr>
                <w:rFonts w:hint="default"/>
                <w:b/>
                <w:bCs/>
                <w:color w:val="auto"/>
                <w:lang w:val="en-US" w:eastAsia="zh-CN"/>
              </w:rPr>
              <w:t>施工道路</w:t>
            </w:r>
          </w:p>
          <w:p>
            <w:pPr>
              <w:pStyle w:val="49"/>
              <w:bidi w:val="0"/>
              <w:spacing w:line="360" w:lineRule="auto"/>
              <w:rPr>
                <w:rFonts w:hint="default"/>
                <w:b w:val="0"/>
                <w:bCs w:val="0"/>
                <w:color w:val="auto"/>
                <w:lang w:val="en-US" w:eastAsia="zh-CN"/>
              </w:rPr>
            </w:pPr>
            <w:r>
              <w:rPr>
                <w:rFonts w:hint="default"/>
                <w:b w:val="0"/>
                <w:bCs w:val="0"/>
                <w:color w:val="auto"/>
                <w:lang w:val="en-US" w:eastAsia="zh-CN"/>
              </w:rPr>
              <w:t>本风电场道路布置时，充分考虑利用原有道路，尽可能选择最优路线实现对机位的全连接。本项目在利用现有道路的情况下，新建道路长度236km（路面宽度 6m，路基宽度 7m，采用300mm厚砂夹石路面，压实度不低于95%），改建道路110km（路面宽度 5m，路基宽度 6m，村道水泥路采用修补方式，乡道土路采用300mm厚砂夹石路面，压实度不低于95%）。</w:t>
            </w:r>
          </w:p>
          <w:p>
            <w:pPr>
              <w:pStyle w:val="49"/>
              <w:bidi w:val="0"/>
              <w:spacing w:line="360" w:lineRule="auto"/>
              <w:rPr>
                <w:rFonts w:hint="default"/>
                <w:b/>
                <w:bCs/>
                <w:color w:val="auto"/>
                <w:lang w:val="en-US" w:eastAsia="zh-CN"/>
              </w:rPr>
            </w:pPr>
            <w:r>
              <w:rPr>
                <w:rFonts w:hint="eastAsia"/>
                <w:b/>
                <w:bCs/>
                <w:color w:val="auto"/>
                <w:lang w:val="en-US" w:eastAsia="zh-CN"/>
              </w:rPr>
              <w:t>（2）</w:t>
            </w:r>
            <w:r>
              <w:rPr>
                <w:rFonts w:hint="default"/>
                <w:b/>
                <w:bCs/>
                <w:color w:val="auto"/>
                <w:lang w:val="en-US" w:eastAsia="zh-CN"/>
              </w:rPr>
              <w:t>场地平整</w:t>
            </w:r>
          </w:p>
          <w:p>
            <w:pPr>
              <w:pStyle w:val="49"/>
              <w:bidi w:val="0"/>
              <w:spacing w:line="360" w:lineRule="auto"/>
              <w:rPr>
                <w:rFonts w:hint="eastAsia"/>
                <w:b w:val="0"/>
                <w:bCs w:val="0"/>
                <w:color w:val="auto"/>
                <w:lang w:val="en-US" w:eastAsia="zh-CN"/>
              </w:rPr>
            </w:pPr>
            <w:r>
              <w:rPr>
                <w:rFonts w:hint="eastAsia"/>
                <w:b w:val="0"/>
                <w:bCs w:val="0"/>
                <w:color w:val="auto"/>
                <w:lang w:val="en-US" w:eastAsia="zh-CN"/>
              </w:rPr>
              <w:t>对风机基础和箱变基础施工前需要对场地进行清理，清除植被等，收集的表土临时堆放于各自安装场内一角，与风机基础后期回填土石方分开堆置，共同采取临时覆盖措施。</w:t>
            </w:r>
          </w:p>
          <w:p>
            <w:pPr>
              <w:pStyle w:val="49"/>
              <w:bidi w:val="0"/>
              <w:spacing w:line="360" w:lineRule="auto"/>
              <w:rPr>
                <w:rFonts w:hint="eastAsia"/>
                <w:color w:val="auto"/>
                <w:lang w:eastAsia="zh-CN"/>
              </w:rPr>
            </w:pPr>
            <w:r>
              <w:rPr>
                <w:rFonts w:hint="eastAsia"/>
                <w:b/>
                <w:bCs/>
                <w:color w:val="auto"/>
                <w:lang w:val="en-US" w:eastAsia="zh-CN"/>
              </w:rPr>
              <w:t>（3）风力发电机组基础工程</w:t>
            </w:r>
            <w:r>
              <w:rPr>
                <w:rFonts w:hint="eastAsia"/>
                <w:color w:val="auto"/>
                <w:lang w:val="en-US" w:eastAsia="zh-CN"/>
              </w:rPr>
              <w:t xml:space="preserve"> </w:t>
            </w:r>
          </w:p>
          <w:p>
            <w:pPr>
              <w:pStyle w:val="49"/>
              <w:bidi w:val="0"/>
              <w:rPr>
                <w:rFonts w:hint="eastAsia"/>
                <w:color w:val="auto"/>
                <w:lang w:val="en-US" w:eastAsia="zh-CN"/>
              </w:rPr>
            </w:pPr>
            <w:r>
              <w:rPr>
                <w:rFonts w:hint="eastAsia"/>
                <w:color w:val="auto"/>
                <w:lang w:val="en-US" w:eastAsia="zh-CN"/>
              </w:rPr>
              <w:t xml:space="preserve">a.基础开挖：根据施工现场坐标控制点，定出基础轴线及基坑开挖线，经复核检查无误后方可进行开挖。土方开挖采用以机械施工开挖为主，人工配合为辅的方法。严格按照施工图要求的边坡开挖，在开挖过程中要控制好基底标高，严禁超挖，开挖的土石料应按照水保要求进行堆放。风机基础开挖至规定高程后，经监理工程师和地质人员进行验槽合格后，方可进行下道工序的施工。 </w:t>
            </w:r>
          </w:p>
          <w:p>
            <w:pPr>
              <w:pStyle w:val="49"/>
              <w:bidi w:val="0"/>
              <w:rPr>
                <w:rFonts w:hint="eastAsia"/>
                <w:color w:val="auto"/>
                <w:lang w:val="en-US" w:eastAsia="zh-CN"/>
              </w:rPr>
            </w:pPr>
            <w:r>
              <w:rPr>
                <w:rFonts w:hint="eastAsia"/>
                <w:color w:val="auto"/>
                <w:lang w:val="en-US" w:eastAsia="zh-CN"/>
              </w:rPr>
              <w:t xml:space="preserve">b.预埋件施工：本工程风机塔筒采用预埋预应力锚栓组合件连接，预应力锚栓直埋于基础主体混凝土中。安装完毕后，做整体验收复核，包括控制轴线和基础中心线的验收、基础本身各预埋之间尺寸的验收。预埋件经验收合格后绑钢筋、封模板。 </w:t>
            </w:r>
          </w:p>
          <w:p>
            <w:pPr>
              <w:pStyle w:val="49"/>
              <w:bidi w:val="0"/>
              <w:rPr>
                <w:rFonts w:hint="eastAsia"/>
                <w:color w:val="auto"/>
                <w:lang w:val="en-US" w:eastAsia="zh-CN"/>
              </w:rPr>
            </w:pPr>
            <w:r>
              <w:rPr>
                <w:rFonts w:hint="eastAsia"/>
                <w:color w:val="auto"/>
                <w:lang w:val="en-US" w:eastAsia="zh-CN"/>
              </w:rPr>
              <w:t xml:space="preserve">c.基础混凝土浇筑：风机基础钢筋混凝土强度等级为 C40。基础开挖验收后，首先对地面进行洒水、夯实、找平，然后浇筑 15cm 的 C20素混凝土垫层。混凝土采用现场搅拌站集中搅拌、混凝土罐车运输、泵车入仓、插入式振捣器振捣的浇筑施工方式。混凝土浇筑时不允许出现施工接缝，主体混凝土要求一次浇筑完成。基础混凝土浇筑前应对设计图纸和供货厂的设备图纸进行认真研究和理解，在充分理解后方可进行施工，要保证预应力锚栓的绝对准确和大体积混凝土基础的整体性。混凝土浇筑时一定要高度重视证预应力锚栓的浇筑。钢筋和证预应力锚栓在浇筑前必须清理干净，以保证混凝土和钢筋的粘结力。混凝土浇筑时应采取措施确保自下而上分层浇筑，浇筑时应控制混凝土均匀上升，避免混凝土由于上升高度不一致对证预应力锚栓产生侧压力。为保证预应力锚栓最终的安装结果准确无误，混凝土浇筑中应用测量仪器加强观测，保证预应力锚栓精度不变。施工时分层浇筑、分层振捣，但又必须保证上下层混凝土在初凝之前结合良好，不致形成施工缝。混凝土施工前要了解掌握天气情况，降雨时不宜进行混凝土浇筑，尽量避免冬季施工。若需在冬季施工应严格按照混凝土冬季施工方法进行施工，考虑采用热水拌合、掺用混凝土防冻剂和对混凝土浇筑进行保温措施等。基础混凝土施工结束后，应对表面立即遮盖进行洒水养护，干旱、多风、日晒的天气施工时，初凝前宜采用喷雾器不间断喷雾养护，水源充足时，宜采用草苫、草帘、毡布等覆盖保温养护，水源无保障时，宜采用喷养护剂养护。养护剂喷洒量、成膜厚度、喷洒时间应通过现场试验确定。基础混凝土在初凝 7 天后方能回填土石料。 </w:t>
            </w:r>
          </w:p>
          <w:p>
            <w:pPr>
              <w:pStyle w:val="49"/>
              <w:bidi w:val="0"/>
              <w:rPr>
                <w:rFonts w:hint="eastAsia"/>
                <w:color w:val="auto"/>
                <w:lang w:val="en-US" w:eastAsia="zh-CN"/>
              </w:rPr>
            </w:pPr>
            <w:r>
              <w:rPr>
                <w:rFonts w:hint="eastAsia"/>
                <w:color w:val="auto"/>
                <w:lang w:val="en-US" w:eastAsia="zh-CN"/>
              </w:rPr>
              <w:t>d.土方回填：基础施工完毕，在混凝土强度达到规范、设计要求并经隐蔽工程验收之后，及时进行土方回填。基坑回填前必须先清除基坑底的杂物，土方回填采用机械挖运、人工分层回填、机械振捣夯实的方式。</w:t>
            </w:r>
          </w:p>
          <w:p>
            <w:pPr>
              <w:pStyle w:val="49"/>
              <w:bidi w:val="0"/>
              <w:rPr>
                <w:rFonts w:hint="eastAsia"/>
                <w:b/>
                <w:bCs/>
                <w:color w:val="auto"/>
                <w:lang w:val="en-US" w:eastAsia="zh-CN"/>
              </w:rPr>
            </w:pPr>
            <w:r>
              <w:rPr>
                <w:rFonts w:hint="eastAsia"/>
                <w:b/>
                <w:bCs/>
                <w:color w:val="auto"/>
                <w:lang w:val="en-US" w:eastAsia="zh-CN"/>
              </w:rPr>
              <w:t>（4）箱式变电站基础施工</w:t>
            </w:r>
          </w:p>
          <w:p>
            <w:pPr>
              <w:pStyle w:val="49"/>
              <w:bidi w:val="0"/>
              <w:rPr>
                <w:rFonts w:hint="eastAsia"/>
                <w:color w:val="auto"/>
                <w:lang w:val="en-US" w:eastAsia="zh-CN"/>
              </w:rPr>
            </w:pPr>
            <w:r>
              <w:rPr>
                <w:rFonts w:hint="eastAsia"/>
                <w:color w:val="auto"/>
                <w:lang w:val="en-US" w:eastAsia="zh-CN"/>
              </w:rPr>
              <w:t>箱式变电站基础采用天然地基基础。土石方开挖采用小型挖掘机进行基础开挖，并辅以人工修正基坑边坡，基础开挖完工后，应将基坑清理干净，进行验收。基坑验收完毕后，根据地质情况对基础做出处理。浇筑基础混凝土时，先浇筑 10cm 厚度的 C20 混凝土垫层，待混凝土凝固后，再进行绑扎钢筋、架设模板，浇筑基础混凝土，混凝土经过 7 天的养护期，达到相应的强度后即可进行设备安装。</w:t>
            </w:r>
          </w:p>
          <w:p>
            <w:pPr>
              <w:pStyle w:val="49"/>
              <w:bidi w:val="0"/>
              <w:rPr>
                <w:rFonts w:hint="eastAsia"/>
                <w:b w:val="0"/>
                <w:bCs w:val="0"/>
                <w:color w:val="auto"/>
                <w:lang w:val="en-US" w:eastAsia="zh-CN"/>
              </w:rPr>
            </w:pPr>
            <w:r>
              <w:rPr>
                <w:rFonts w:hint="eastAsia"/>
                <w:b/>
                <w:bCs/>
                <w:color w:val="auto"/>
                <w:lang w:val="en-US" w:eastAsia="zh-CN"/>
              </w:rPr>
              <w:t xml:space="preserve">（5）风力发电机组安装 </w:t>
            </w:r>
          </w:p>
          <w:p>
            <w:pPr>
              <w:pStyle w:val="49"/>
              <w:bidi w:val="0"/>
              <w:rPr>
                <w:rFonts w:hint="eastAsia"/>
                <w:b w:val="0"/>
                <w:bCs w:val="0"/>
                <w:color w:val="auto"/>
                <w:lang w:val="en-US" w:eastAsia="zh-CN"/>
              </w:rPr>
            </w:pPr>
            <w:r>
              <w:rPr>
                <w:rFonts w:hint="eastAsia"/>
                <w:b w:val="0"/>
                <w:bCs w:val="0"/>
                <w:color w:val="auto"/>
                <w:lang w:val="en-US" w:eastAsia="zh-CN"/>
              </w:rPr>
              <w:t xml:space="preserve">本期工程推荐方案选择的风力发电机组单机容量为 6.67MW。由于不同厂家和不同型号的风电机组的重量、尺寸等不相同，但基本类似。因此下面就推荐风电机组的常规安装方法做以叙述以供参考。此方法特点是准备工作时间短、吊装快、运用灵活。本期工程风力发电机设备的吊装的大件设备主要有塔筒（下段、中段、上段）、机舱、发电机、轮毂装配体与叶片等，最重大件设备为机舱（包含发电机）约 145t，最长风机设备为风机叶片，经综合考虑，选用 750t 的履带式主吊和 75t 胎式辅助汽车吊相互配合完成风机的吊装，安装时应在厂家专门技术人员的指导下进行。为了保证吊车吊臂在起吊过程中不碰到塔架，应保证起重 </w:t>
            </w:r>
          </w:p>
          <w:p>
            <w:pPr>
              <w:pStyle w:val="49"/>
              <w:bidi w:val="0"/>
              <w:ind w:left="0" w:leftChars="0" w:firstLine="0" w:firstLineChars="0"/>
              <w:rPr>
                <w:rFonts w:hint="eastAsia"/>
                <w:b w:val="0"/>
                <w:bCs w:val="0"/>
                <w:color w:val="auto"/>
                <w:lang w:val="en-US" w:eastAsia="zh-CN"/>
              </w:rPr>
            </w:pPr>
            <w:r>
              <w:rPr>
                <w:rFonts w:hint="eastAsia"/>
                <w:b w:val="0"/>
                <w:bCs w:val="0"/>
                <w:color w:val="auto"/>
                <w:lang w:val="en-US" w:eastAsia="zh-CN"/>
              </w:rPr>
              <w:t xml:space="preserve">机有大于 50×60m 的工作场地空间，在进场公路旁应有存放零配件或小型吊车的足够场地。现将各部件的安装分别叙述如下： </w:t>
            </w:r>
          </w:p>
          <w:p>
            <w:pPr>
              <w:pStyle w:val="49"/>
              <w:bidi w:val="0"/>
              <w:rPr>
                <w:rFonts w:hint="eastAsia"/>
                <w:b w:val="0"/>
                <w:bCs w:val="0"/>
                <w:color w:val="auto"/>
                <w:lang w:val="en-US" w:eastAsia="zh-CN"/>
              </w:rPr>
            </w:pPr>
            <w:r>
              <w:rPr>
                <w:rFonts w:hint="eastAsia"/>
                <w:b w:val="0"/>
                <w:bCs w:val="0"/>
                <w:color w:val="auto"/>
                <w:lang w:val="en-US" w:eastAsia="zh-CN"/>
              </w:rPr>
              <w:t xml:space="preserve">a.风电机组塔架安装 </w:t>
            </w:r>
          </w:p>
          <w:p>
            <w:pPr>
              <w:pStyle w:val="49"/>
              <w:bidi w:val="0"/>
              <w:rPr>
                <w:rFonts w:hint="eastAsia"/>
                <w:b w:val="0"/>
                <w:bCs w:val="0"/>
                <w:color w:val="auto"/>
                <w:lang w:val="en-US" w:eastAsia="zh-CN"/>
              </w:rPr>
            </w:pPr>
            <w:r>
              <w:rPr>
                <w:rFonts w:hint="eastAsia"/>
                <w:b w:val="0"/>
                <w:bCs w:val="0"/>
                <w:color w:val="auto"/>
                <w:lang w:val="en-US" w:eastAsia="zh-CN"/>
              </w:rPr>
              <w:t xml:space="preserve">本期风力发电机塔筒为圆筒塔架，由上、中上、中下、下四部分组成，每两部分之间用法兰盘连接。这些圆筒塔架是分段运输的，须在现场将筒内的配件安装好后，再进行吊装。在现场保存时应注意将塔筒放置于硬木上并防止其滚动，存放场地应尽可能平整无斜坡。必须在现场检查塔架及其配件在运输中损坏与否，为防止锈蚀，任何外表的损伤都应立即修补，所有污物也需清洗干净。安装前应检查基座，基座的平整度需用水准仪校测，塔架的允许误差应符合厂家规定。在塔架安装前还应清除底法兰上的尘土及浇筑混凝土的剩余物，尤其是锚板与法兰处，不允许有任何锈蚀存在，若需要，可用砂纸打磨抛光。 </w:t>
            </w:r>
          </w:p>
          <w:p>
            <w:pPr>
              <w:pStyle w:val="49"/>
              <w:bidi w:val="0"/>
              <w:rPr>
                <w:rFonts w:hint="eastAsia"/>
                <w:b w:val="0"/>
                <w:bCs w:val="0"/>
                <w:color w:val="auto"/>
                <w:lang w:val="en-US" w:eastAsia="zh-CN"/>
              </w:rPr>
            </w:pPr>
            <w:r>
              <w:rPr>
                <w:rFonts w:hint="eastAsia"/>
                <w:b w:val="0"/>
                <w:bCs w:val="0"/>
                <w:color w:val="auto"/>
                <w:lang w:val="en-US" w:eastAsia="zh-CN"/>
              </w:rPr>
              <w:t>b.风电机组机舱安装</w:t>
            </w:r>
          </w:p>
          <w:p>
            <w:pPr>
              <w:pStyle w:val="49"/>
              <w:bidi w:val="0"/>
              <w:rPr>
                <w:rFonts w:hint="eastAsia"/>
                <w:b w:val="0"/>
                <w:bCs w:val="0"/>
                <w:color w:val="auto"/>
                <w:lang w:val="en-US" w:eastAsia="zh-CN"/>
              </w:rPr>
            </w:pPr>
            <w:r>
              <w:rPr>
                <w:rFonts w:hint="eastAsia"/>
                <w:b w:val="0"/>
                <w:bCs w:val="0"/>
                <w:color w:val="auto"/>
                <w:lang w:val="en-US" w:eastAsia="zh-CN"/>
              </w:rPr>
              <w:t xml:space="preserve">风力发电机组采用分部件吊装的形式，在安装时，应选择良好的天气，下雨或风速超过 12m/s 时不允许安装风力发电机。履带吊支撑部位需铺垫路基箱，增加接地面积以分散起重荷载，防止地面下陷。机舱部件（含发电机）在地面组装完成后将机舱吊起至与塔筒上段对接的安装位置，用四个螺栓相对固定，手动拧紧所有其它螺栓，完全放下机舱，将吊车保留 50%的荷载，用电动扳手紧固全部连接螺栓至规定力矩，拆除吊索。 </w:t>
            </w:r>
          </w:p>
          <w:p>
            <w:pPr>
              <w:pStyle w:val="49"/>
              <w:bidi w:val="0"/>
              <w:rPr>
                <w:rFonts w:hint="eastAsia"/>
                <w:b w:val="0"/>
                <w:bCs w:val="0"/>
                <w:color w:val="auto"/>
                <w:lang w:val="en-US" w:eastAsia="zh-CN"/>
              </w:rPr>
            </w:pPr>
            <w:r>
              <w:rPr>
                <w:rFonts w:hint="eastAsia"/>
                <w:b w:val="0"/>
                <w:bCs w:val="0"/>
                <w:color w:val="auto"/>
                <w:lang w:val="en-US" w:eastAsia="zh-CN"/>
              </w:rPr>
              <w:t xml:space="preserve">c.风电机组叶片安装 </w:t>
            </w:r>
          </w:p>
          <w:p>
            <w:pPr>
              <w:pStyle w:val="49"/>
              <w:bidi w:val="0"/>
              <w:rPr>
                <w:rFonts w:hint="eastAsia"/>
                <w:b w:val="0"/>
                <w:bCs w:val="0"/>
                <w:color w:val="auto"/>
                <w:lang w:val="en-US" w:eastAsia="zh-CN"/>
              </w:rPr>
            </w:pPr>
            <w:r>
              <w:rPr>
                <w:rFonts w:hint="eastAsia"/>
                <w:b w:val="0"/>
                <w:bCs w:val="0"/>
                <w:color w:val="auto"/>
                <w:lang w:val="en-US" w:eastAsia="zh-CN"/>
              </w:rPr>
              <w:t xml:space="preserve">转子叶片由载重汽车运输到安装现场后，为了防止叶片与地面的接触，应使用运输支架将其固定。安装前，必须对叶片进行全面的检查，以查明其在运输过程中有否损坏。禁止不经全面检查就直接安装叶片。在地面上按施工安装技术要求首先将转子叶片安装在轮毂上，然后再进行吊装工作。轮毂与叶片在地面组装，叶片需采用支架支撑呈水平状态。组装完毕后，采用专用夹具夹紧轮毂，同时用绳索系在其中的两片叶片上，剩余的一片叶片尖端架在可移动式专用小车上。在转子叶片安装前，应用清洗设备对叶片法兰和轮毂法兰进行清洗。当履带吊将轮 毂缓慢吊起时，由人工在地面拉住绳索以控制叶片的摆动，直到提升至安装高度，由安装工人站于机舱内进行空中组装连接。风速是影响风电机组安装的主要因素，当风速超过一定值时不允许安装风电机组，现场施工管理人员应能够判断在何种风速下才可以安装风电机组。吊装叶片和轮毂时，用大吊车提升轮毂和叶片，用小吊车随吊一片叶片。为了避免叶片在提升过程中摆动，用圆环绳索分别套在三片叶片上，每片叶片用 3～6 名装配人员在地面上拉住。在提升过程中，禁止叶片与吊车、塔架、机舱发生碰撞，应确保绳索不相互缠绕。通过两台吊车的共同作用，慢慢将转子叶片竖立。随后与吊装圆筒塔架相似的办法将带叶片的轮毂起吊并安装到机舱的法兰上。 </w:t>
            </w:r>
          </w:p>
          <w:p>
            <w:pPr>
              <w:pStyle w:val="49"/>
              <w:bidi w:val="0"/>
              <w:rPr>
                <w:rFonts w:hint="eastAsia"/>
                <w:b w:val="0"/>
                <w:bCs w:val="0"/>
                <w:color w:val="auto"/>
                <w:lang w:val="en-US" w:eastAsia="zh-CN"/>
              </w:rPr>
            </w:pPr>
            <w:r>
              <w:rPr>
                <w:rFonts w:hint="eastAsia"/>
                <w:b w:val="0"/>
                <w:bCs w:val="0"/>
                <w:color w:val="auto"/>
                <w:lang w:val="en-US" w:eastAsia="zh-CN"/>
              </w:rPr>
              <w:t>安装结束后可将叶片的安装附件移走，并清理安装现场。</w:t>
            </w:r>
          </w:p>
          <w:p>
            <w:pPr>
              <w:pStyle w:val="49"/>
              <w:bidi w:val="0"/>
              <w:rPr>
                <w:rFonts w:hint="eastAsia"/>
                <w:b/>
                <w:bCs/>
                <w:color w:val="auto"/>
                <w:lang w:val="en-US" w:eastAsia="zh-CN"/>
              </w:rPr>
            </w:pPr>
            <w:r>
              <w:rPr>
                <w:rFonts w:hint="eastAsia"/>
                <w:b/>
                <w:bCs/>
                <w:color w:val="auto"/>
                <w:lang w:val="en-US" w:eastAsia="zh-CN"/>
              </w:rPr>
              <w:t xml:space="preserve">（6）箱式变电站安装 </w:t>
            </w:r>
          </w:p>
          <w:p>
            <w:pPr>
              <w:pStyle w:val="49"/>
              <w:bidi w:val="0"/>
              <w:rPr>
                <w:rFonts w:hint="eastAsia"/>
                <w:b w:val="0"/>
                <w:bCs w:val="0"/>
                <w:color w:val="auto"/>
                <w:lang w:val="en-US" w:eastAsia="zh-CN"/>
              </w:rPr>
            </w:pPr>
            <w:r>
              <w:rPr>
                <w:rFonts w:hint="eastAsia"/>
                <w:b w:val="0"/>
                <w:bCs w:val="0"/>
                <w:color w:val="auto"/>
                <w:lang w:val="en-US" w:eastAsia="zh-CN"/>
              </w:rPr>
              <w:t xml:space="preserve">本工程初拟选择箱式变压器的容量为 7900kVA。 </w:t>
            </w:r>
          </w:p>
          <w:p>
            <w:pPr>
              <w:pStyle w:val="49"/>
              <w:bidi w:val="0"/>
              <w:rPr>
                <w:rFonts w:hint="eastAsia"/>
                <w:b w:val="0"/>
                <w:bCs w:val="0"/>
                <w:color w:val="auto"/>
                <w:lang w:val="en-US" w:eastAsia="zh-CN"/>
              </w:rPr>
            </w:pPr>
            <w:r>
              <w:rPr>
                <w:rFonts w:hint="eastAsia"/>
                <w:b w:val="0"/>
                <w:bCs w:val="0"/>
                <w:color w:val="auto"/>
                <w:lang w:val="en-US" w:eastAsia="zh-CN"/>
              </w:rPr>
              <w:t xml:space="preserve">a.安装前的准备 </w:t>
            </w:r>
          </w:p>
          <w:p>
            <w:pPr>
              <w:pStyle w:val="49"/>
              <w:bidi w:val="0"/>
              <w:rPr>
                <w:rFonts w:hint="eastAsia"/>
                <w:b w:val="0"/>
                <w:bCs w:val="0"/>
                <w:color w:val="auto"/>
                <w:lang w:val="en-US" w:eastAsia="zh-CN"/>
              </w:rPr>
            </w:pPr>
            <w:r>
              <w:rPr>
                <w:rFonts w:hint="eastAsia"/>
                <w:b w:val="0"/>
                <w:bCs w:val="0"/>
                <w:color w:val="auto"/>
                <w:lang w:val="en-US" w:eastAsia="zh-CN"/>
              </w:rPr>
              <w:t xml:space="preserve">电缆应在箱式变压器就位前敷设好，并且经过检验是无电的。开箱验收检查产品是否有损伤、变形和断裂。安装箱清单检查附件和专用工具是否齐全，在确认无误后方可按安装要求进行安装。 </w:t>
            </w:r>
          </w:p>
          <w:p>
            <w:pPr>
              <w:pStyle w:val="49"/>
              <w:bidi w:val="0"/>
              <w:rPr>
                <w:rFonts w:hint="eastAsia"/>
                <w:b w:val="0"/>
                <w:bCs w:val="0"/>
                <w:color w:val="auto"/>
                <w:lang w:val="en-US" w:eastAsia="zh-CN"/>
              </w:rPr>
            </w:pPr>
            <w:r>
              <w:rPr>
                <w:rFonts w:hint="eastAsia"/>
                <w:b w:val="0"/>
                <w:bCs w:val="0"/>
                <w:color w:val="auto"/>
                <w:lang w:val="en-US" w:eastAsia="zh-CN"/>
              </w:rPr>
              <w:t xml:space="preserve">b.箱式变压器的安装 </w:t>
            </w:r>
          </w:p>
          <w:p>
            <w:pPr>
              <w:pStyle w:val="49"/>
              <w:bidi w:val="0"/>
              <w:rPr>
                <w:rFonts w:hint="eastAsia"/>
                <w:b w:val="0"/>
                <w:bCs w:val="0"/>
                <w:color w:val="auto"/>
                <w:lang w:val="en-US" w:eastAsia="zh-CN"/>
              </w:rPr>
            </w:pPr>
            <w:r>
              <w:rPr>
                <w:rFonts w:hint="eastAsia"/>
                <w:b w:val="0"/>
                <w:bCs w:val="0"/>
                <w:color w:val="auto"/>
                <w:lang w:val="en-US" w:eastAsia="zh-CN"/>
              </w:rPr>
              <w:t>靠近箱体顶部有用于装卸的吊钩，起吊钢缆拉伸时与垂直线间的角度不能超过 30°,如有必要，应用横杆支撑钢缆，以免造成箱变结构或起吊钩的变形。箱变大部分重量集中在装有铁心、绕组和绝缘油的箱体中的变压器，高低压终端箱内大部分是空的，重量相对较轻，使用吊钩或起重机不当可能造成箱变或其附件的损坏，或引起人员伤害。在安装完毕后，接上试验电缆插头，按国家有关试验规程进行试验。由于箱变的具体型号和厂商需在施工阶段招标后才能最终确定，其安装方法在施工阶段要按照厂商的要求和说明进行修正。</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eastAsia"/>
                <w:b/>
                <w:bCs/>
                <w:color w:val="auto"/>
                <w:lang w:val="en-US" w:eastAsia="zh-CN"/>
              </w:rPr>
              <w:t>二、建设</w:t>
            </w:r>
            <w:r>
              <w:rPr>
                <w:rFonts w:hint="default"/>
                <w:b/>
                <w:bCs/>
                <w:color w:val="auto"/>
                <w:lang w:val="en-US" w:eastAsia="zh-CN"/>
              </w:rPr>
              <w:t>周期</w:t>
            </w:r>
          </w:p>
          <w:p>
            <w:pPr>
              <w:pStyle w:val="49"/>
              <w:bidi w:val="0"/>
              <w:rPr>
                <w:rFonts w:hint="default" w:cs="Times New Roman"/>
                <w:color w:val="auto"/>
                <w:highlight w:val="yellow"/>
                <w:lang w:val="en-US" w:eastAsia="zh-CN"/>
              </w:rPr>
            </w:pPr>
            <w:r>
              <w:rPr>
                <w:rFonts w:hint="eastAsia" w:cs="Times New Roman"/>
                <w:color w:val="auto"/>
                <w:lang w:val="en-US" w:eastAsia="zh-CN"/>
              </w:rPr>
              <w:t>本工程主要施工项目：施工前期准备→场内交通施工→风电机组基础施工→风电机组安装→第一组风电机组调试、发电投产→工程竣工。</w:t>
            </w:r>
            <w:r>
              <w:rPr>
                <w:rFonts w:hint="eastAsia" w:cs="Times New Roman"/>
                <w:color w:val="auto"/>
                <w:highlight w:val="none"/>
                <w:lang w:val="en-US" w:eastAsia="zh-CN"/>
              </w:rPr>
              <w:t>本项目建设周期为18个月，第一年的6月初开工，第二年12月底结束。施工进度表见附件6。</w:t>
            </w:r>
          </w:p>
          <w:p>
            <w:pPr>
              <w:pStyle w:val="49"/>
              <w:bidi w:val="0"/>
              <w:rPr>
                <w:rFonts w:hint="eastAsia" w:cs="Times New Roman"/>
                <w:color w:val="auto"/>
                <w:highlight w:val="none"/>
                <w:lang w:val="en-US" w:eastAsia="zh-CN"/>
              </w:rPr>
            </w:pPr>
            <w:r>
              <w:rPr>
                <w:rFonts w:hint="eastAsia" w:cs="Times New Roman"/>
                <w:color w:val="auto"/>
                <w:highlight w:val="none"/>
                <w:lang w:val="en-US" w:eastAsia="zh-CN"/>
              </w:rPr>
              <w:t>1.施工准备工作</w:t>
            </w:r>
          </w:p>
          <w:p>
            <w:pPr>
              <w:pStyle w:val="49"/>
              <w:bidi w:val="0"/>
              <w:rPr>
                <w:rFonts w:hint="eastAsia" w:cs="Times New Roman"/>
                <w:color w:val="auto"/>
                <w:highlight w:val="none"/>
                <w:lang w:val="en-US" w:eastAsia="zh-CN"/>
              </w:rPr>
            </w:pPr>
            <w:r>
              <w:rPr>
                <w:rFonts w:hint="eastAsia" w:cs="Times New Roman"/>
                <w:color w:val="auto"/>
                <w:highlight w:val="none"/>
                <w:lang w:val="en-US" w:eastAsia="zh-CN"/>
              </w:rPr>
              <w:t>首先对施工场地进行“四通一平”、建造生产和生活临时建筑，为全面施工做准备。</w:t>
            </w:r>
          </w:p>
          <w:p>
            <w:pPr>
              <w:pStyle w:val="49"/>
              <w:bidi w:val="0"/>
              <w:rPr>
                <w:rFonts w:hint="default" w:cs="Times New Roman"/>
                <w:color w:val="auto"/>
                <w:highlight w:val="none"/>
                <w:lang w:val="en-US" w:eastAsia="zh-CN"/>
              </w:rPr>
            </w:pPr>
            <w:r>
              <w:rPr>
                <w:rFonts w:hint="eastAsia" w:cs="Times New Roman"/>
                <w:color w:val="auto"/>
                <w:highlight w:val="none"/>
                <w:lang w:val="en-US" w:eastAsia="zh-CN"/>
              </w:rPr>
              <w:t>场地平整及进场道路修筑；施工供水供电系统安装及生产生活临时设施修筑，从第一年 6 月初开始，第一年的 7 月底结束。场内道路修筑从第一年的8月初开始，第一年的11月底结束。</w:t>
            </w:r>
          </w:p>
          <w:p>
            <w:pPr>
              <w:pStyle w:val="49"/>
              <w:bidi w:val="0"/>
              <w:rPr>
                <w:rFonts w:hint="eastAsia" w:cs="Times New Roman"/>
                <w:color w:val="auto"/>
                <w:highlight w:val="none"/>
                <w:lang w:val="en-US" w:eastAsia="zh-CN"/>
              </w:rPr>
            </w:pPr>
            <w:r>
              <w:rPr>
                <w:rFonts w:hint="eastAsia" w:cs="Times New Roman"/>
                <w:color w:val="auto"/>
                <w:highlight w:val="none"/>
                <w:lang w:val="en-US" w:eastAsia="zh-CN"/>
              </w:rPr>
              <w:t>2.风电机组土建工程</w:t>
            </w:r>
          </w:p>
          <w:p>
            <w:pPr>
              <w:pStyle w:val="49"/>
              <w:bidi w:val="0"/>
              <w:rPr>
                <w:rFonts w:hint="eastAsia" w:cs="Times New Roman"/>
                <w:color w:val="auto"/>
                <w:highlight w:val="none"/>
                <w:lang w:val="en-US" w:eastAsia="zh-CN"/>
              </w:rPr>
            </w:pPr>
            <w:r>
              <w:rPr>
                <w:rFonts w:hint="eastAsia" w:cs="Times New Roman"/>
                <w:color w:val="auto"/>
                <w:highlight w:val="none"/>
                <w:lang w:val="en-US" w:eastAsia="zh-CN"/>
              </w:rPr>
              <w:t>风电机组基础的施工是工期控制性工序，因此应尽可能投入较多的机械同时施工。计划从第 1 年 9 月初开始，第 1 年 12 月底前完成第一批风机基础的施工。不考虑冬季施工，1 月、2 月、3月上旬暂停施工。第二批风机基础计划从第 2 年 3 月下旬开始，第 2 年第 6 月底完成。在施工风电机组基础的同时，应同时或提前完成每个机组的箱式变压器基础施工。</w:t>
            </w:r>
          </w:p>
          <w:p>
            <w:pPr>
              <w:pStyle w:val="49"/>
              <w:bidi w:val="0"/>
              <w:rPr>
                <w:rFonts w:hint="default" w:cs="Times New Roman"/>
                <w:color w:val="auto"/>
                <w:highlight w:val="none"/>
                <w:lang w:val="en-US" w:eastAsia="zh-CN"/>
              </w:rPr>
            </w:pPr>
            <w:r>
              <w:rPr>
                <w:rFonts w:hint="eastAsia" w:cs="Times New Roman"/>
                <w:color w:val="auto"/>
                <w:highlight w:val="none"/>
                <w:lang w:val="en-US" w:eastAsia="zh-CN"/>
              </w:rPr>
              <w:t>3.风电机组安装与调试</w:t>
            </w:r>
          </w:p>
          <w:p>
            <w:pPr>
              <w:pStyle w:val="49"/>
              <w:bidi w:val="0"/>
              <w:rPr>
                <w:rFonts w:hint="eastAsia" w:cs="Times New Roman"/>
                <w:color w:val="auto"/>
                <w:highlight w:val="none"/>
                <w:lang w:val="en-US" w:eastAsia="zh-CN"/>
              </w:rPr>
            </w:pPr>
            <w:r>
              <w:rPr>
                <w:rFonts w:hint="eastAsia" w:cs="Times New Roman"/>
                <w:color w:val="auto"/>
                <w:highlight w:val="none"/>
                <w:lang w:val="en-US" w:eastAsia="zh-CN"/>
              </w:rPr>
              <w:t>风电机组的安装与调试计划从第 2 年 6 月初开始，至第 2 年9 月底结束。</w:t>
            </w:r>
          </w:p>
          <w:p>
            <w:pPr>
              <w:pStyle w:val="49"/>
              <w:bidi w:val="0"/>
              <w:rPr>
                <w:rFonts w:hint="eastAsia" w:cs="Times New Roman"/>
                <w:color w:val="auto"/>
                <w:highlight w:val="none"/>
                <w:lang w:val="en-US" w:eastAsia="zh-CN"/>
              </w:rPr>
            </w:pPr>
            <w:r>
              <w:rPr>
                <w:rFonts w:hint="eastAsia" w:cs="Times New Roman"/>
                <w:color w:val="auto"/>
                <w:highlight w:val="none"/>
                <w:lang w:val="en-US" w:eastAsia="zh-CN"/>
              </w:rPr>
              <w:t>4.箱变安装与调试</w:t>
            </w:r>
          </w:p>
          <w:p>
            <w:pPr>
              <w:pStyle w:val="49"/>
              <w:bidi w:val="0"/>
              <w:rPr>
                <w:rFonts w:hint="default" w:cs="Times New Roman"/>
                <w:color w:val="auto"/>
                <w:highlight w:val="none"/>
                <w:lang w:val="en-US" w:eastAsia="zh-CN"/>
              </w:rPr>
            </w:pPr>
            <w:r>
              <w:rPr>
                <w:rFonts w:hint="eastAsia" w:cs="Times New Roman"/>
                <w:color w:val="auto"/>
                <w:highlight w:val="none"/>
                <w:lang w:val="en-US" w:eastAsia="zh-CN"/>
              </w:rPr>
              <w:t>箱变</w:t>
            </w:r>
            <w:r>
              <w:rPr>
                <w:rFonts w:hint="default" w:cs="Times New Roman"/>
                <w:color w:val="auto"/>
                <w:highlight w:val="none"/>
                <w:lang w:val="en-US" w:eastAsia="zh-CN"/>
              </w:rPr>
              <w:t>的安装与调试计划从第 2 年 6 月初开始，至第 2 年</w:t>
            </w:r>
            <w:r>
              <w:rPr>
                <w:rFonts w:hint="eastAsia" w:cs="Times New Roman"/>
                <w:color w:val="auto"/>
                <w:highlight w:val="none"/>
                <w:lang w:val="en-US" w:eastAsia="zh-CN"/>
              </w:rPr>
              <w:t>11</w:t>
            </w:r>
            <w:r>
              <w:rPr>
                <w:rFonts w:hint="default" w:cs="Times New Roman"/>
                <w:color w:val="auto"/>
                <w:highlight w:val="none"/>
                <w:lang w:val="en-US" w:eastAsia="zh-CN"/>
              </w:rPr>
              <w:t xml:space="preserve"> 月底结束。</w:t>
            </w:r>
          </w:p>
          <w:p>
            <w:pPr>
              <w:pStyle w:val="49"/>
              <w:bidi w:val="0"/>
              <w:rPr>
                <w:rFonts w:hint="default" w:ascii="Times New Roman" w:hAnsi="Times New Roman" w:cs="Times New Roman"/>
                <w:color w:val="auto"/>
                <w:lang w:eastAsia="zh-CN"/>
              </w:rPr>
            </w:pPr>
            <w:r>
              <w:rPr>
                <w:rFonts w:hint="eastAsia" w:cs="Times New Roman"/>
                <w:color w:val="auto"/>
                <w:highlight w:val="none"/>
                <w:lang w:val="en-US" w:eastAsia="zh-CN"/>
              </w:rPr>
              <w:t>第 2 年的 12 月底机组全部发电，工程建设总工期为 18 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25"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施工方案</w:t>
            </w:r>
          </w:p>
        </w:tc>
        <w:tc>
          <w:tcPr>
            <w:tcW w:w="86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85"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施工方案</w:t>
            </w:r>
          </w:p>
        </w:tc>
        <w:tc>
          <w:tcPr>
            <w:tcW w:w="86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37"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施工方案</w:t>
            </w:r>
            <w:r>
              <w:rPr>
                <w:rFonts w:hint="eastAsia" w:cs="Times New Roman"/>
                <w:b/>
                <w:bCs/>
                <w:color w:val="auto"/>
                <w:kern w:val="2"/>
                <w:sz w:val="24"/>
                <w:szCs w:val="24"/>
                <w:highlight w:val="none"/>
                <w:lang w:val="en-US" w:eastAsia="zh-CN" w:bidi="ar-SA"/>
              </w:rPr>
              <w:t xml:space="preserve"> </w:t>
            </w:r>
          </w:p>
        </w:tc>
        <w:tc>
          <w:tcPr>
            <w:tcW w:w="86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其他</w:t>
            </w:r>
          </w:p>
        </w:tc>
        <w:tc>
          <w:tcPr>
            <w:tcW w:w="8643" w:type="dxa"/>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before="157" w:beforeLines="50"/>
              <w:ind w:left="0" w:leftChars="0" w:firstLine="0" w:firstLineChars="0"/>
              <w:jc w:val="center"/>
              <w:textAlignment w:val="auto"/>
              <w:rPr>
                <w:rFonts w:hint="eastAsia" w:cs="Times New Roman"/>
                <w:color w:val="auto"/>
                <w:lang w:val="en-US" w:eastAsia="zh-CN"/>
              </w:rPr>
            </w:pPr>
          </w:p>
          <w:p>
            <w:pPr>
              <w:pStyle w:val="49"/>
              <w:bidi w:val="0"/>
              <w:ind w:left="0" w:leftChars="0" w:firstLine="0" w:firstLineChars="0"/>
              <w:jc w:val="center"/>
              <w:rPr>
                <w:rFonts w:hint="default" w:cs="Times New Roman"/>
                <w:color w:val="0000FF"/>
                <w:lang w:val="en-US" w:eastAsia="zh-CN"/>
              </w:rPr>
            </w:pPr>
            <w:r>
              <w:rPr>
                <w:rFonts w:hint="eastAsia" w:cs="Times New Roman"/>
                <w:b/>
                <w:bCs/>
                <w:color w:val="auto"/>
                <w:lang w:val="en-US" w:eastAsia="zh-CN"/>
              </w:rPr>
              <w:t>无</w:t>
            </w:r>
          </w:p>
        </w:tc>
      </w:tr>
    </w:tbl>
    <w:p>
      <w:pPr>
        <w:rPr>
          <w:rFonts w:hint="default" w:ascii="Times New Roman" w:hAnsi="Times New Roman" w:cs="Times New Roman"/>
          <w:color w:val="auto"/>
          <w:lang w:eastAsia="zh-CN"/>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pPr>
        <w:pStyle w:val="7"/>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三、生态环境现状、保护目标及评价标准</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36" w:hRule="atLeast"/>
          <w:jc w:val="center"/>
        </w:trPr>
        <w:tc>
          <w:tcPr>
            <w:tcW w:w="711" w:type="dxa"/>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生态环境现状</w:t>
            </w:r>
          </w:p>
        </w:tc>
        <w:tc>
          <w:tcPr>
            <w:tcW w:w="8643" w:type="dxa"/>
            <w:vMerge w:val="restart"/>
            <w:tcBorders>
              <w:tl2br w:val="nil"/>
              <w:tr2bl w:val="nil"/>
            </w:tcBorders>
            <w:vAlign w:val="center"/>
          </w:tcPr>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1.生态环境现状</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1.1 主体功能区规划情况</w:t>
            </w:r>
          </w:p>
          <w:p>
            <w:pPr>
              <w:pStyle w:val="49"/>
              <w:bidi w:val="0"/>
              <w:rPr>
                <w:rFonts w:hint="default" w:ascii="Times New Roman" w:hAnsi="Times New Roman" w:cs="Times New Roman"/>
                <w:color w:val="auto"/>
                <w:highlight w:val="none"/>
                <w:lang w:eastAsia="zh-CN"/>
              </w:rPr>
            </w:pPr>
            <w:r>
              <w:rPr>
                <w:rFonts w:hint="default" w:ascii="Times New Roman" w:hAnsi="Times New Roman" w:cs="Times New Roman"/>
                <w:color w:val="auto"/>
                <w:lang w:val="en-US" w:eastAsia="zh-CN"/>
              </w:rPr>
              <w:t>根据《宁夏回族自治区主体功能区规划》将全区国土空间划分为以下主体功能区：按开发方式，划分为重点开发区域、限制开发区域和禁止开发区域；按开发内容，划分为城市化地区、农产品主产区和重点生态功能区；按层次，划分为国家级和自治区级两个层面。</w:t>
            </w:r>
            <w:r>
              <w:rPr>
                <w:rFonts w:hint="eastAsia" w:cs="Times New Roman"/>
                <w:color w:val="auto"/>
                <w:lang w:val="en-US" w:eastAsia="zh-CN"/>
              </w:rPr>
              <w:t>对比宁夏回族自治区主体功能区规划图</w:t>
            </w:r>
            <w:r>
              <w:rPr>
                <w:rFonts w:hint="default" w:ascii="Times New Roman" w:hAnsi="Times New Roman" w:cs="Times New Roman"/>
                <w:color w:val="auto"/>
                <w:lang w:val="en-US" w:eastAsia="zh-CN"/>
              </w:rPr>
              <w:t>，</w:t>
            </w:r>
            <w:r>
              <w:rPr>
                <w:rFonts w:hint="eastAsia" w:cs="Times New Roman"/>
                <w:color w:val="auto"/>
                <w:lang w:val="en-US" w:eastAsia="zh-CN"/>
              </w:rPr>
              <w:t>本项目</w:t>
            </w:r>
            <w:r>
              <w:rPr>
                <w:rFonts w:hint="default" w:ascii="Times New Roman" w:hAnsi="Times New Roman" w:cs="Times New Roman"/>
                <w:color w:val="auto"/>
                <w:lang w:val="en-US" w:eastAsia="zh-CN"/>
              </w:rPr>
              <w:t>属于《宁夏回族自治区主体功能区规划》中的</w:t>
            </w:r>
            <w:r>
              <w:rPr>
                <w:rFonts w:hint="eastAsia" w:cs="Times New Roman"/>
                <w:color w:val="auto"/>
                <w:lang w:val="en-US" w:eastAsia="zh-CN"/>
              </w:rPr>
              <w:t>国家</w:t>
            </w:r>
            <w:r>
              <w:rPr>
                <w:rFonts w:hint="default" w:ascii="Times New Roman" w:hAnsi="Times New Roman" w:cs="Times New Roman"/>
                <w:color w:val="auto"/>
                <w:lang w:val="en-US" w:eastAsia="zh-CN"/>
              </w:rPr>
              <w:t>重点生态功能区</w:t>
            </w:r>
            <w:r>
              <w:rPr>
                <w:rFonts w:hint="eastAsia" w:cs="Times New Roman"/>
                <w:color w:val="auto"/>
                <w:highlight w:val="none"/>
                <w:lang w:eastAsia="zh-CN"/>
              </w:rPr>
              <w:t>，即生态系统脆弱或生态功能重要，资源环境承载能力较低，不具备大规模高强度工业化、城镇化开发的条件，必须把增强生态产品生产能力作为首要任务，从而应该限制进行大规模高强度工业化、城镇化开发的地区</w:t>
            </w:r>
            <w:r>
              <w:rPr>
                <w:rFonts w:hint="default" w:ascii="Times New Roman" w:hAnsi="Times New Roman" w:cs="Times New Roman"/>
                <w:color w:val="auto"/>
                <w:highlight w:val="none"/>
                <w:lang w:eastAsia="zh-CN"/>
              </w:rPr>
              <w:t>。</w:t>
            </w:r>
            <w:r>
              <w:rPr>
                <w:rFonts w:hint="eastAsia" w:cs="Times New Roman"/>
                <w:color w:val="auto"/>
                <w:highlight w:val="none"/>
                <w:lang w:eastAsia="zh-CN"/>
              </w:rPr>
              <w:t>本次在</w:t>
            </w:r>
            <w:r>
              <w:rPr>
                <w:rFonts w:hint="eastAsia" w:cs="Times New Roman"/>
                <w:color w:val="auto"/>
                <w:highlight w:val="none"/>
                <w:lang w:val="en-US" w:eastAsia="zh-CN"/>
              </w:rPr>
              <w:t>海原县建设100万千瓦风电项目，不具备大规模高强度工业化、城镇化开发的条件，所以，本项目与宁夏回族自治区主体功能区规划相符。</w:t>
            </w:r>
            <w:r>
              <w:rPr>
                <w:rFonts w:hint="default" w:ascii="Times New Roman" w:hAnsi="Times New Roman" w:cs="Times New Roman"/>
                <w:color w:val="auto"/>
                <w:highlight w:val="none"/>
                <w:lang w:val="en-US" w:eastAsia="zh-CN"/>
              </w:rPr>
              <w:t>项目与宁夏回族自治区主体功能区规划关系详见</w:t>
            </w:r>
            <w:r>
              <w:rPr>
                <w:rFonts w:hint="default" w:ascii="Times New Roman" w:hAnsi="Times New Roman" w:cs="Times New Roman"/>
                <w:b/>
                <w:bCs/>
                <w:color w:val="auto"/>
                <w:highlight w:val="none"/>
                <w:lang w:val="en-US" w:eastAsia="zh-CN"/>
              </w:rPr>
              <w:t>附图</w:t>
            </w:r>
            <w:r>
              <w:rPr>
                <w:rFonts w:hint="eastAsia" w:cs="Times New Roman"/>
                <w:b/>
                <w:bCs/>
                <w:color w:val="auto"/>
                <w:highlight w:val="none"/>
                <w:lang w:val="en-US" w:eastAsia="zh-CN"/>
              </w:rPr>
              <w:t>12</w:t>
            </w:r>
            <w:r>
              <w:rPr>
                <w:rFonts w:hint="default" w:ascii="Times New Roman" w:hAnsi="Times New Roman" w:cs="Times New Roman"/>
                <w:b/>
                <w:bCs/>
                <w:color w:val="auto"/>
                <w:highlight w:val="none"/>
                <w:lang w:val="en-US" w:eastAsia="zh-CN"/>
              </w:rPr>
              <w:t>。</w:t>
            </w:r>
          </w:p>
          <w:p>
            <w:pPr>
              <w:pStyle w:val="49"/>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1.2 生态功能区划情况</w:t>
            </w:r>
          </w:p>
          <w:p>
            <w:pPr>
              <w:pStyle w:val="49"/>
              <w:bidi w:val="0"/>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根据《宁夏生态功能区划》（2003.10），宁夏生态功能区划共划分3个一级区，10个二级区，37个三级区。</w:t>
            </w:r>
            <w:r>
              <w:rPr>
                <w:rFonts w:hint="default" w:ascii="Times New Roman" w:hAnsi="Times New Roman" w:cs="Times New Roman"/>
                <w:color w:val="auto"/>
                <w:highlight w:val="none"/>
                <w:lang w:eastAsia="zh-CN"/>
              </w:rPr>
              <w:t>本工程位于</w:t>
            </w:r>
            <w:r>
              <w:rPr>
                <w:rFonts w:hint="default" w:ascii="Times New Roman" w:hAnsi="Times New Roman" w:cs="Times New Roman"/>
                <w:color w:val="auto"/>
                <w:highlight w:val="none"/>
                <w:lang w:val="en-US" w:eastAsia="zh-CN"/>
              </w:rPr>
              <w:t>中卫市</w:t>
            </w:r>
            <w:r>
              <w:rPr>
                <w:rFonts w:hint="eastAsia" w:cs="Times New Roman"/>
                <w:color w:val="auto"/>
                <w:highlight w:val="none"/>
                <w:lang w:val="en-US" w:eastAsia="zh-CN"/>
              </w:rPr>
              <w:t>海原县</w:t>
            </w:r>
            <w:r>
              <w:rPr>
                <w:rFonts w:hint="default" w:ascii="Times New Roman" w:hAnsi="Times New Roman" w:cs="Times New Roman"/>
                <w:color w:val="auto"/>
                <w:lang w:eastAsia="zh-CN"/>
              </w:rPr>
              <w:t>，</w:t>
            </w:r>
            <w:r>
              <w:rPr>
                <w:rFonts w:hint="default" w:ascii="Times New Roman" w:hAnsi="Times New Roman" w:cs="Times New Roman"/>
                <w:color w:val="auto"/>
                <w:highlight w:val="none"/>
                <w:lang w:eastAsia="zh-CN"/>
              </w:rPr>
              <w:t>根据宁夏生态功能区划图，本项目属于海原中南部盆塘丘陵中度水土流失治理生态功能区</w:t>
            </w:r>
            <w:r>
              <w:rPr>
                <w:rFonts w:hint="eastAsia"/>
                <w:color w:val="auto"/>
                <w:highlight w:val="none"/>
                <w:lang w:eastAsia="zh-CN"/>
              </w:rPr>
              <w:t>；本区的生态问题主要是水土流失，早作农田生态服务功能差，天然草地一因干旱缺水，二因超载过牧，草场退化严重，针对上述问题，其治理措施是：盆塘地、塬地及河谷川地应进一步开辟水源，充分利用天上水(挖水窖，修水库、涝池)和地下水(打井)扩大早改水地面积，扩大饲草、饲料种植比例，实施田、路、林、村统一规划，平田整地，缩小灌面，推行节水灌溉新技术，大抓田旁植树，逐步实现农田林网化，建立健全旱作农田生态系统。对于黄土梁状丘陵和峁状丘陵坚决退耕还林还草，通过生物措施和工程措施治理水土流失。对于天然草地应先禁牧，趁雨季补种优质牧草，增加植被覆盖，逐步提高草场质量。</w:t>
            </w:r>
            <w:r>
              <w:rPr>
                <w:rFonts w:hint="default" w:ascii="Times New Roman" w:hAnsi="Times New Roman" w:cs="Times New Roman"/>
                <w:color w:val="auto"/>
                <w:highlight w:val="none"/>
                <w:lang w:eastAsia="zh-CN"/>
              </w:rPr>
              <w:t>本项目</w:t>
            </w:r>
            <w:r>
              <w:rPr>
                <w:rFonts w:hint="eastAsia" w:cs="Times New Roman"/>
                <w:color w:val="auto"/>
                <w:highlight w:val="none"/>
                <w:lang w:eastAsia="zh-CN"/>
              </w:rPr>
              <w:t>临时占地主要为林地和草地，已针对大临工程采取工程措施、临时措施和植被措施进行综合防治水土流失措施，施工后将临时占地恢复与所在区域的景观一致，恢复为原有生态水平。且本项目仅施工期产生不利影响，对于生态影响随施工期的结束而结束，运营期不排放污染物，对生态破坏较小，与</w:t>
            </w:r>
            <w:r>
              <w:rPr>
                <w:rFonts w:hint="eastAsia" w:cs="Times New Roman"/>
                <w:color w:val="auto"/>
                <w:highlight w:val="none"/>
                <w:lang w:val="en-US" w:eastAsia="zh-CN"/>
              </w:rPr>
              <w:t>《宁夏生态功能区划》相符。本项目</w:t>
            </w:r>
            <w:r>
              <w:rPr>
                <w:rFonts w:hint="default" w:ascii="Times New Roman" w:hAnsi="Times New Roman" w:cs="Times New Roman"/>
                <w:color w:val="auto"/>
                <w:highlight w:val="none"/>
                <w:lang w:eastAsia="zh-CN"/>
              </w:rPr>
              <w:t>与宁夏生态功能区划位置关系见</w:t>
            </w:r>
            <w:r>
              <w:rPr>
                <w:rFonts w:hint="default" w:ascii="Times New Roman" w:hAnsi="Times New Roman" w:cs="Times New Roman"/>
                <w:b/>
                <w:bCs/>
                <w:color w:val="auto"/>
                <w:highlight w:val="none"/>
                <w:lang w:eastAsia="zh-CN"/>
              </w:rPr>
              <w:t>附图</w:t>
            </w:r>
            <w:r>
              <w:rPr>
                <w:rFonts w:hint="eastAsia" w:cs="Times New Roman"/>
                <w:b/>
                <w:bCs/>
                <w:color w:val="auto"/>
                <w:highlight w:val="none"/>
                <w:lang w:val="en-US" w:eastAsia="zh-CN"/>
              </w:rPr>
              <w:t>13</w:t>
            </w:r>
            <w:r>
              <w:rPr>
                <w:rFonts w:hint="default" w:ascii="Times New Roman" w:hAnsi="Times New Roman" w:cs="Times New Roman"/>
                <w:color w:val="auto"/>
                <w:highlight w:val="none"/>
                <w:lang w:val="en-US" w:eastAsia="zh-CN"/>
              </w:rPr>
              <w:t>。</w:t>
            </w:r>
          </w:p>
          <w:p>
            <w:pPr>
              <w:pStyle w:val="49"/>
              <w:bidi w:val="0"/>
              <w:rPr>
                <w:rFonts w:hint="default" w:ascii="Times New Roman" w:hAnsi="Times New Roman" w:eastAsia="仿宋_GB2312" w:cs="Times New Roman"/>
                <w:b/>
                <w:bCs/>
                <w:color w:val="auto"/>
                <w:lang w:eastAsia="zh-CN"/>
              </w:rPr>
            </w:pPr>
            <w:r>
              <w:rPr>
                <w:rFonts w:hint="default" w:ascii="Times New Roman" w:hAnsi="Times New Roman" w:cs="Times New Roman"/>
                <w:b/>
                <w:bCs/>
                <w:color w:val="auto"/>
                <w:lang w:val="en-US" w:eastAsia="zh-CN"/>
              </w:rPr>
              <w:t>1.</w:t>
            </w:r>
            <w:r>
              <w:rPr>
                <w:rFonts w:hint="eastAsia" w:cs="Times New Roman"/>
                <w:b/>
                <w:bCs/>
                <w:color w:val="auto"/>
                <w:lang w:val="en-US" w:eastAsia="zh-CN"/>
              </w:rPr>
              <w:t>3</w:t>
            </w:r>
            <w:r>
              <w:rPr>
                <w:rFonts w:hint="default" w:ascii="Times New Roman" w:hAnsi="Times New Roman" w:cs="Times New Roman"/>
                <w:b/>
                <w:bCs/>
                <w:color w:val="auto"/>
                <w:lang w:val="en-US" w:eastAsia="zh-CN"/>
              </w:rPr>
              <w:t xml:space="preserve"> </w:t>
            </w:r>
            <w:r>
              <w:rPr>
                <w:rFonts w:hint="default" w:ascii="Times New Roman" w:hAnsi="Times New Roman" w:cs="Times New Roman"/>
                <w:b/>
                <w:bCs/>
                <w:color w:val="auto"/>
              </w:rPr>
              <w:t>土地利用</w:t>
            </w:r>
            <w:r>
              <w:rPr>
                <w:rFonts w:hint="default" w:ascii="Times New Roman" w:hAnsi="Times New Roman" w:cs="Times New Roman"/>
                <w:b/>
                <w:bCs/>
                <w:color w:val="auto"/>
                <w:lang w:eastAsia="zh-CN"/>
              </w:rPr>
              <w:t>类型</w:t>
            </w:r>
          </w:p>
          <w:p>
            <w:pPr>
              <w:pStyle w:val="49"/>
              <w:bidi w:val="0"/>
              <w:rPr>
                <w:rFonts w:hint="eastAsia" w:cs="Times New Roman"/>
                <w:color w:val="auto"/>
                <w:highlight w:val="none"/>
                <w:lang w:eastAsia="zh-CN"/>
              </w:rPr>
            </w:pPr>
            <w:r>
              <w:rPr>
                <w:rFonts w:hint="eastAsia" w:cs="Times New Roman"/>
                <w:color w:val="auto"/>
                <w:highlight w:val="none"/>
                <w:lang w:eastAsia="zh-CN"/>
              </w:rPr>
              <w:t>本项目占地分为永久占地和临时占地，永久占地土地利用现状为农用地，临时林地和草地，本项目土地利用类型图见</w:t>
            </w:r>
            <w:r>
              <w:rPr>
                <w:rFonts w:hint="eastAsia" w:cs="Times New Roman"/>
                <w:b/>
                <w:bCs/>
                <w:color w:val="auto"/>
                <w:highlight w:val="none"/>
                <w:lang w:eastAsia="zh-CN"/>
              </w:rPr>
              <w:t>附图</w:t>
            </w:r>
            <w:r>
              <w:rPr>
                <w:rFonts w:hint="eastAsia" w:cs="Times New Roman"/>
                <w:b/>
                <w:bCs/>
                <w:color w:val="auto"/>
                <w:highlight w:val="none"/>
                <w:lang w:val="en-US" w:eastAsia="zh-CN"/>
              </w:rPr>
              <w:t>15</w:t>
            </w:r>
            <w:r>
              <w:rPr>
                <w:rFonts w:hint="eastAsia" w:cs="Times New Roman"/>
                <w:b/>
                <w:bCs/>
                <w:color w:val="auto"/>
                <w:highlight w:val="none"/>
                <w:lang w:eastAsia="zh-CN"/>
              </w:rPr>
              <w:t>。</w:t>
            </w:r>
          </w:p>
          <w:p>
            <w:pPr>
              <w:spacing w:line="18" w:lineRule="exact"/>
              <w:rPr>
                <w:rFonts w:hint="default" w:ascii="Times New Roman" w:hAnsi="Times New Roman" w:cs="Times New Roman"/>
                <w:color w:val="auto"/>
              </w:rPr>
            </w:pPr>
          </w:p>
          <w:p>
            <w:pPr>
              <w:pStyle w:val="49"/>
              <w:bidi w:val="0"/>
              <w:ind w:left="0" w:leftChars="0" w:firstLine="482" w:firstLineChars="200"/>
              <w:rPr>
                <w:rFonts w:hint="default" w:ascii="Times New Roman" w:hAnsi="Times New Roman" w:eastAsia="仿宋_GB2312" w:cs="Times New Roman"/>
                <w:b/>
                <w:bCs/>
                <w:color w:val="auto"/>
                <w:lang w:eastAsia="zh-CN"/>
              </w:rPr>
            </w:pPr>
            <w:r>
              <w:rPr>
                <w:rFonts w:hint="default" w:ascii="Times New Roman" w:hAnsi="Times New Roman" w:cs="Times New Roman"/>
                <w:b/>
                <w:bCs/>
                <w:color w:val="auto"/>
                <w:lang w:val="en-US" w:eastAsia="zh-CN"/>
              </w:rPr>
              <w:t>1.</w:t>
            </w:r>
            <w:r>
              <w:rPr>
                <w:rFonts w:hint="eastAsia" w:cs="Times New Roman"/>
                <w:b/>
                <w:bCs/>
                <w:color w:val="auto"/>
                <w:lang w:val="en-US" w:eastAsia="zh-CN"/>
              </w:rPr>
              <w:t>4</w:t>
            </w:r>
            <w:r>
              <w:rPr>
                <w:rFonts w:hint="default" w:ascii="Times New Roman" w:hAnsi="Times New Roman" w:cs="Times New Roman"/>
                <w:b/>
                <w:bCs/>
                <w:color w:val="auto"/>
                <w:lang w:val="en-US" w:eastAsia="zh-CN"/>
              </w:rPr>
              <w:t xml:space="preserve"> </w:t>
            </w:r>
            <w:r>
              <w:rPr>
                <w:rFonts w:hint="default" w:ascii="Times New Roman" w:hAnsi="Times New Roman" w:cs="Times New Roman"/>
                <w:b/>
                <w:bCs/>
                <w:color w:val="auto"/>
              </w:rPr>
              <w:t>植被</w:t>
            </w:r>
            <w:r>
              <w:rPr>
                <w:rFonts w:hint="default" w:ascii="Times New Roman" w:hAnsi="Times New Roman" w:cs="Times New Roman"/>
                <w:b/>
                <w:bCs/>
                <w:color w:val="auto"/>
                <w:lang w:eastAsia="zh-CN"/>
              </w:rPr>
              <w:t>类型</w:t>
            </w:r>
          </w:p>
          <w:p>
            <w:pPr>
              <w:pStyle w:val="49"/>
              <w:bidi w:val="0"/>
              <w:rPr>
                <w:rFonts w:hint="default" w:ascii="Times New Roman" w:hAnsi="Times New Roman" w:cs="Times New Roman"/>
                <w:b/>
                <w:bCs/>
                <w:color w:val="auto"/>
                <w:highlight w:val="none"/>
              </w:rPr>
            </w:pPr>
            <w:r>
              <w:rPr>
                <w:rFonts w:hint="eastAsia" w:cs="Times New Roman"/>
                <w:color w:val="auto"/>
                <w:highlight w:val="none"/>
                <w:lang w:val="en-US" w:eastAsia="zh-CN"/>
              </w:rPr>
              <w:t>对照宁夏植被分布图，</w:t>
            </w:r>
            <w:r>
              <w:rPr>
                <w:rFonts w:hint="default" w:ascii="Times New Roman" w:hAnsi="Times New Roman" w:cs="Times New Roman"/>
                <w:color w:val="auto"/>
                <w:highlight w:val="none"/>
                <w:lang w:val="en-US" w:eastAsia="zh-CN"/>
              </w:rPr>
              <w:t>本项目所在区域植被类型</w:t>
            </w:r>
            <w:r>
              <w:rPr>
                <w:rFonts w:hint="eastAsia" w:cs="Times New Roman"/>
                <w:color w:val="auto"/>
                <w:highlight w:val="none"/>
                <w:lang w:val="en-US" w:eastAsia="zh-CN"/>
              </w:rPr>
              <w:t>包括三年二熟旱作作物组合（以春小麦为主、含糜谷、芸芥；以春小麦为主，含洋芋、莜麦、豆类）；典型草原（茭蒿草原；百里香、星毛委陵菜、长茅草草原）；草甸（杂草类草草甸）</w:t>
            </w:r>
            <w:r>
              <w:rPr>
                <w:rFonts w:hint="default" w:ascii="Times New Roman" w:hAnsi="Times New Roman" w:cs="Times New Roman"/>
                <w:color w:val="auto"/>
                <w:highlight w:val="none"/>
                <w:lang w:val="en-US" w:eastAsia="zh-CN"/>
              </w:rPr>
              <w:t>。项目区无国家级、自治区级珍稀、濒危野生保护植物物种。</w:t>
            </w:r>
            <w:r>
              <w:rPr>
                <w:rFonts w:hint="default" w:ascii="Times New Roman" w:hAnsi="Times New Roman" w:cs="Times New Roman"/>
                <w:color w:val="auto"/>
                <w:highlight w:val="none"/>
                <w:lang w:eastAsia="zh-CN"/>
              </w:rPr>
              <w:t>本工程</w:t>
            </w:r>
            <w:r>
              <w:rPr>
                <w:rFonts w:hint="default" w:ascii="Times New Roman" w:hAnsi="Times New Roman" w:cs="Times New Roman"/>
                <w:color w:val="auto"/>
                <w:highlight w:val="none"/>
                <w:lang w:val="en-US" w:eastAsia="zh-CN"/>
              </w:rPr>
              <w:t>所在区域</w:t>
            </w:r>
            <w:r>
              <w:rPr>
                <w:rFonts w:hint="default" w:ascii="Times New Roman" w:hAnsi="Times New Roman" w:cs="Times New Roman"/>
                <w:color w:val="auto"/>
                <w:highlight w:val="none"/>
              </w:rPr>
              <w:t>植被</w:t>
            </w:r>
            <w:r>
              <w:rPr>
                <w:rFonts w:hint="default" w:ascii="Times New Roman" w:hAnsi="Times New Roman" w:cs="Times New Roman"/>
                <w:color w:val="auto"/>
                <w:highlight w:val="none"/>
                <w:lang w:val="en-US" w:eastAsia="zh-CN"/>
              </w:rPr>
              <w:t>类型</w:t>
            </w:r>
            <w:r>
              <w:rPr>
                <w:rFonts w:hint="default" w:ascii="Times New Roman" w:hAnsi="Times New Roman" w:cs="Times New Roman"/>
                <w:color w:val="auto"/>
                <w:highlight w:val="none"/>
              </w:rPr>
              <w:t>分布</w:t>
            </w:r>
            <w:r>
              <w:rPr>
                <w:rFonts w:hint="default" w:ascii="Times New Roman" w:hAnsi="Times New Roman" w:cs="Times New Roman"/>
                <w:color w:val="auto"/>
                <w:highlight w:val="none"/>
                <w:lang w:val="en-US" w:eastAsia="zh-CN"/>
              </w:rPr>
              <w:t>图</w:t>
            </w:r>
            <w:r>
              <w:rPr>
                <w:rFonts w:hint="default" w:ascii="Times New Roman" w:hAnsi="Times New Roman" w:cs="Times New Roman"/>
                <w:color w:val="auto"/>
                <w:highlight w:val="none"/>
              </w:rPr>
              <w:t>见</w:t>
            </w:r>
            <w:r>
              <w:rPr>
                <w:rFonts w:hint="default" w:ascii="Times New Roman" w:hAnsi="Times New Roman" w:cs="Times New Roman"/>
                <w:b/>
                <w:bCs/>
                <w:color w:val="auto"/>
                <w:highlight w:val="none"/>
                <w:lang w:eastAsia="zh-CN"/>
              </w:rPr>
              <w:t>附图</w:t>
            </w:r>
            <w:r>
              <w:rPr>
                <w:rFonts w:hint="eastAsia" w:cs="Times New Roman"/>
                <w:b/>
                <w:bCs/>
                <w:color w:val="auto"/>
                <w:highlight w:val="none"/>
                <w:lang w:val="en-US" w:eastAsia="zh-CN"/>
              </w:rPr>
              <w:t>16</w:t>
            </w:r>
            <w:r>
              <w:rPr>
                <w:rFonts w:hint="default" w:ascii="Times New Roman" w:hAnsi="Times New Roman" w:cs="Times New Roman"/>
                <w:b/>
                <w:bCs/>
                <w:color w:val="auto"/>
                <w:highlight w:val="none"/>
              </w:rPr>
              <w:t>。</w:t>
            </w:r>
          </w:p>
          <w:p>
            <w:pPr>
              <w:pStyle w:val="49"/>
              <w:bidi w:val="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1.</w:t>
            </w:r>
            <w:r>
              <w:rPr>
                <w:rFonts w:hint="eastAsia" w:cs="Times New Roman"/>
                <w:b/>
                <w:bCs/>
                <w:color w:val="auto"/>
                <w:highlight w:val="none"/>
                <w:lang w:val="en-US" w:eastAsia="zh-CN"/>
              </w:rPr>
              <w:t>5</w:t>
            </w:r>
            <w:r>
              <w:rPr>
                <w:rFonts w:hint="default" w:ascii="Times New Roman" w:hAnsi="Times New Roman" w:cs="Times New Roman"/>
                <w:b/>
                <w:bCs/>
                <w:color w:val="auto"/>
                <w:highlight w:val="none"/>
                <w:lang w:val="en-US" w:eastAsia="zh-CN"/>
              </w:rPr>
              <w:t xml:space="preserve"> 动物种类</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项目区所在的区域自然条件相对恶劣，野生动物的种类和数量均较少，土蜥蜴较为常见，野兔、麻蛇等偶尔可见，主要的野生动物包括：燕子、麻雀、喜鹊、麻蛇、绿蛇、青蛙、蟾蜍等。无国家濒危珍稀保护动植物种及其栖息地分布，无古树名木分布。</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2.环境空气质量现状</w:t>
            </w:r>
          </w:p>
          <w:p>
            <w:pPr>
              <w:pStyle w:val="49"/>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Times New Roman" w:hAnsi="Times New Roman" w:eastAsia="黑体" w:cs="Times New Roman"/>
                <w:b w:val="0"/>
                <w:bCs w:val="0"/>
                <w:color w:val="auto"/>
                <w:sz w:val="24"/>
                <w:szCs w:val="24"/>
              </w:rPr>
            </w:pPr>
            <w:r>
              <w:rPr>
                <w:rFonts w:hint="default" w:ascii="Times New Roman" w:hAnsi="Times New Roman" w:cs="Times New Roman"/>
                <w:color w:val="auto"/>
                <w:highlight w:val="none"/>
              </w:rPr>
              <w:t>本项目位于中卫市</w:t>
            </w:r>
            <w:r>
              <w:rPr>
                <w:rFonts w:hint="eastAsia" w:cs="Times New Roman"/>
                <w:color w:val="auto"/>
                <w:highlight w:val="none"/>
                <w:lang w:eastAsia="zh-CN"/>
              </w:rPr>
              <w:t>海原县</w:t>
            </w:r>
            <w:r>
              <w:rPr>
                <w:rFonts w:hint="default" w:ascii="Times New Roman" w:hAnsi="Times New Roman" w:cs="Times New Roman"/>
                <w:color w:val="auto"/>
                <w:highlight w:val="none"/>
              </w:rPr>
              <w:t>，所在行政区划范围为</w:t>
            </w:r>
            <w:r>
              <w:rPr>
                <w:rFonts w:hint="default" w:ascii="Times New Roman" w:hAnsi="Times New Roman" w:cs="Times New Roman"/>
                <w:color w:val="auto"/>
                <w:highlight w:val="none"/>
                <w:lang w:eastAsia="zh-CN"/>
              </w:rPr>
              <w:t>中卫市</w:t>
            </w:r>
            <w:r>
              <w:rPr>
                <w:rFonts w:hint="default" w:ascii="Times New Roman" w:hAnsi="Times New Roman" w:cs="Times New Roman"/>
                <w:color w:val="auto"/>
                <w:highlight w:val="none"/>
              </w:rPr>
              <w:t>，为说明区域环境质量达标情况，按照《</w:t>
            </w:r>
            <w:r>
              <w:rPr>
                <w:rFonts w:hint="default" w:ascii="Times New Roman" w:hAnsi="Times New Roman" w:cs="Times New Roman"/>
                <w:color w:val="auto"/>
                <w:highlight w:val="none"/>
                <w:lang w:val="en-US" w:eastAsia="zh-CN"/>
              </w:rPr>
              <w:t>建设项目环境影响报告表编制技术指南（</w:t>
            </w:r>
            <w:r>
              <w:rPr>
                <w:rFonts w:hint="eastAsia" w:ascii="Times New Roman" w:hAnsi="Times New Roman" w:cs="Times New Roman"/>
                <w:color w:val="auto"/>
                <w:highlight w:val="none"/>
                <w:lang w:val="en-US" w:eastAsia="zh-CN"/>
              </w:rPr>
              <w:t>生态</w:t>
            </w:r>
            <w:r>
              <w:rPr>
                <w:rFonts w:hint="default" w:ascii="Times New Roman" w:hAnsi="Times New Roman" w:cs="Times New Roman"/>
                <w:color w:val="auto"/>
                <w:highlight w:val="none"/>
                <w:lang w:val="en-US" w:eastAsia="zh-CN"/>
              </w:rPr>
              <w:t>影响类）</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要求，</w:t>
            </w:r>
            <w:r>
              <w:rPr>
                <w:rFonts w:hint="default" w:ascii="Times New Roman" w:hAnsi="Times New Roman" w:cs="Times New Roman"/>
                <w:color w:val="auto"/>
                <w:highlight w:val="none"/>
              </w:rPr>
              <w:t>本次优先选用地方生态环境主管部门公开的环境质量报告书中的数据和结论作为数据达标判定依据来源。项目区域环境空气质量现状引用《</w:t>
            </w: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eastAsia="zh-CN"/>
              </w:rPr>
              <w:t>宁夏</w:t>
            </w:r>
            <w:r>
              <w:rPr>
                <w:rFonts w:hint="default" w:ascii="Times New Roman" w:hAnsi="Times New Roman" w:cs="Times New Roman"/>
                <w:color w:val="auto"/>
                <w:highlight w:val="none"/>
              </w:rPr>
              <w:t>生态环境质量</w:t>
            </w:r>
            <w:r>
              <w:rPr>
                <w:rFonts w:hint="default" w:ascii="Times New Roman" w:hAnsi="Times New Roman" w:cs="Times New Roman"/>
                <w:color w:val="auto"/>
                <w:highlight w:val="none"/>
                <w:lang w:eastAsia="zh-CN"/>
              </w:rPr>
              <w:t>报告书</w:t>
            </w:r>
            <w:r>
              <w:rPr>
                <w:rFonts w:hint="default" w:ascii="Times New Roman" w:hAnsi="Times New Roman" w:cs="Times New Roman"/>
                <w:color w:val="auto"/>
                <w:highlight w:val="none"/>
              </w:rPr>
              <w:t>》中</w:t>
            </w:r>
            <w:r>
              <w:rPr>
                <w:rFonts w:hint="default" w:ascii="Times New Roman" w:hAnsi="Times New Roman" w:cs="Times New Roman"/>
                <w:color w:val="auto"/>
                <w:highlight w:val="none"/>
                <w:lang w:val="en-US" w:eastAsia="zh-CN"/>
              </w:rPr>
              <w:t>202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年</w:t>
            </w:r>
            <w:r>
              <w:rPr>
                <w:rFonts w:hint="default" w:ascii="Times New Roman" w:hAnsi="Times New Roman" w:cs="Times New Roman"/>
                <w:color w:val="auto"/>
                <w:highlight w:val="none"/>
              </w:rPr>
              <w:t>中卫市的现状监测数据，并对监测数据进行分析，说明区域环境空气质量达标情况。所在区域公布的环境空气质量现状评价具体见</w:t>
            </w:r>
            <w:r>
              <w:rPr>
                <w:rFonts w:hint="eastAsia" w:ascii="Times New Roman" w:hAnsi="Times New Roman" w:cs="Times New Roman"/>
                <w:color w:val="auto"/>
                <w:highlight w:val="none"/>
                <w:lang w:eastAsia="zh-CN"/>
              </w:rPr>
              <w:t>表</w:t>
            </w:r>
            <w:r>
              <w:rPr>
                <w:rFonts w:hint="eastAsia" w:ascii="Times New Roman" w:hAnsi="Times New Roman" w:cs="Times New Roman"/>
                <w:color w:val="auto"/>
                <w:highlight w:val="none"/>
                <w:lang w:val="en-US" w:eastAsia="zh-CN"/>
              </w:rPr>
              <w:t>17</w:t>
            </w:r>
            <w:r>
              <w:rPr>
                <w:rFonts w:hint="default" w:ascii="Times New Roman" w:hAnsi="Times New Roman" w:cs="Times New Roman"/>
                <w:color w:val="auto"/>
                <w:highlight w:val="none"/>
              </w:rPr>
              <w:t>。</w:t>
            </w:r>
          </w:p>
          <w:p>
            <w:pPr>
              <w:pStyle w:val="41"/>
              <w:bidi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黑体" w:cs="Times New Roman"/>
                <w:b w:val="0"/>
                <w:bCs w:val="0"/>
                <w:color w:val="auto"/>
                <w:sz w:val="24"/>
                <w:szCs w:val="24"/>
              </w:rPr>
              <w:t>表</w:t>
            </w:r>
            <w:r>
              <w:rPr>
                <w:rFonts w:hint="default" w:ascii="Times New Roman" w:hAnsi="Times New Roman" w:cs="Times New Roman"/>
                <w:b w:val="0"/>
                <w:bCs w:val="0"/>
                <w:color w:val="auto"/>
                <w:sz w:val="24"/>
                <w:szCs w:val="24"/>
                <w:lang w:val="en-US" w:eastAsia="zh-CN"/>
              </w:rPr>
              <w:t>17</w:t>
            </w:r>
            <w:r>
              <w:rPr>
                <w:rFonts w:hint="default" w:ascii="Times New Roman" w:hAnsi="Times New Roman" w:eastAsia="黑体" w:cs="Times New Roman"/>
                <w:b w:val="0"/>
                <w:bCs w:val="0"/>
                <w:color w:val="auto"/>
                <w:sz w:val="24"/>
                <w:szCs w:val="24"/>
              </w:rPr>
              <w:t xml:space="preserve">    </w:t>
            </w:r>
            <w:r>
              <w:rPr>
                <w:rFonts w:hint="default" w:ascii="Times New Roman" w:hAnsi="Times New Roman" w:eastAsia="黑体" w:cs="Times New Roman"/>
                <w:b w:val="0"/>
                <w:bCs w:val="0"/>
                <w:color w:val="auto"/>
                <w:sz w:val="24"/>
                <w:szCs w:val="24"/>
                <w:lang w:val="en-US" w:eastAsia="zh-CN"/>
              </w:rPr>
              <w:t xml:space="preserve">  </w:t>
            </w:r>
            <w:r>
              <w:rPr>
                <w:rFonts w:hint="default" w:ascii="Times New Roman" w:hAnsi="Times New Roman" w:eastAsia="黑体" w:cs="Times New Roman"/>
                <w:b w:val="0"/>
                <w:bCs w:val="0"/>
                <w:color w:val="auto"/>
                <w:sz w:val="24"/>
                <w:szCs w:val="24"/>
              </w:rPr>
              <w:t xml:space="preserve"> </w:t>
            </w:r>
            <w:r>
              <w:rPr>
                <w:rFonts w:hint="default" w:ascii="Times New Roman" w:hAnsi="Times New Roman" w:eastAsia="黑体" w:cs="Times New Roman"/>
                <w:b w:val="0"/>
                <w:bCs w:val="0"/>
                <w:color w:val="auto"/>
                <w:sz w:val="24"/>
                <w:szCs w:val="24"/>
                <w:lang w:val="en-US" w:eastAsia="zh-CN"/>
              </w:rPr>
              <w:t xml:space="preserve"> 项目所在区域环境现状监测数据统计表  </w:t>
            </w:r>
            <w:r>
              <w:rPr>
                <w:rFonts w:hint="default" w:ascii="Times New Roman" w:hAnsi="Times New Roman" w:eastAsia="黑体" w:cs="Times New Roman"/>
                <w:b w:val="0"/>
                <w:bCs w:val="0"/>
                <w:color w:val="auto"/>
                <w:sz w:val="24"/>
                <w:szCs w:val="24"/>
              </w:rPr>
              <w:t xml:space="preserve">  </w:t>
            </w:r>
            <w:r>
              <w:rPr>
                <w:rFonts w:hint="default" w:ascii="Times New Roman" w:hAnsi="Times New Roman" w:eastAsia="黑体" w:cs="Times New Roman"/>
                <w:b w:val="0"/>
                <w:bCs w:val="0"/>
                <w:color w:val="auto"/>
                <w:sz w:val="24"/>
                <w:szCs w:val="24"/>
                <w:lang w:val="en-US" w:eastAsia="zh-CN"/>
              </w:rPr>
              <w:t xml:space="preserve">  </w:t>
            </w:r>
            <w:r>
              <w:rPr>
                <w:rFonts w:hint="default" w:ascii="Times New Roman" w:hAnsi="Times New Roman" w:eastAsia="黑体" w:cs="Times New Roman"/>
                <w:b w:val="0"/>
                <w:bCs w:val="0"/>
                <w:color w:val="auto"/>
                <w:sz w:val="24"/>
                <w:szCs w:val="24"/>
              </w:rPr>
              <w:t>单位：μg/m</w:t>
            </w:r>
            <w:r>
              <w:rPr>
                <w:rFonts w:hint="default" w:ascii="Times New Roman" w:hAnsi="Times New Roman" w:eastAsia="黑体" w:cs="Times New Roman"/>
                <w:b w:val="0"/>
                <w:bCs w:val="0"/>
                <w:color w:val="auto"/>
                <w:sz w:val="24"/>
                <w:szCs w:val="24"/>
                <w:vertAlign w:val="superscript"/>
              </w:rPr>
              <w:t>3</w:t>
            </w:r>
          </w:p>
          <w:tbl>
            <w:tblPr>
              <w:tblStyle w:val="28"/>
              <w:tblW w:w="495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8"/>
              <w:gridCol w:w="2198"/>
              <w:gridCol w:w="1622"/>
              <w:gridCol w:w="1476"/>
              <w:gridCol w:w="1060"/>
              <w:gridCol w:w="9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06" w:type="dxa"/>
                  <w:tcBorders>
                    <w:top w:val="single" w:color="auto" w:sz="12" w:space="0"/>
                    <w:left w:val="single" w:color="auto" w:sz="12" w:space="0"/>
                    <w:bottom w:val="single" w:color="auto" w:sz="6" w:space="0"/>
                    <w:right w:val="single" w:color="auto" w:sz="6" w:space="0"/>
                  </w:tcBorders>
                  <w:noWrap w:val="0"/>
                  <w:vAlign w:val="center"/>
                </w:tcPr>
                <w:p>
                  <w:pPr>
                    <w:adjustRightInd w:val="0"/>
                    <w:snapToGrid w:val="0"/>
                    <w:jc w:val="center"/>
                    <w:rPr>
                      <w:b/>
                      <w:bCs/>
                      <w:color w:val="auto"/>
                    </w:rPr>
                  </w:pPr>
                  <w:r>
                    <w:rPr>
                      <w:b/>
                      <w:bCs/>
                      <w:color w:val="auto"/>
                    </w:rPr>
                    <w:t>污染物</w:t>
                  </w:r>
                </w:p>
              </w:tc>
              <w:tc>
                <w:tcPr>
                  <w:tcW w:w="2080"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jc w:val="center"/>
                    <w:rPr>
                      <w:b/>
                      <w:bCs/>
                      <w:color w:val="auto"/>
                    </w:rPr>
                  </w:pPr>
                  <w:r>
                    <w:rPr>
                      <w:b/>
                      <w:bCs/>
                      <w:color w:val="auto"/>
                    </w:rPr>
                    <w:t>年评价指标</w:t>
                  </w:r>
                </w:p>
              </w:tc>
              <w:tc>
                <w:tcPr>
                  <w:tcW w:w="1535"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jc w:val="center"/>
                    <w:rPr>
                      <w:b/>
                      <w:bCs/>
                      <w:color w:val="auto"/>
                    </w:rPr>
                  </w:pPr>
                  <w:r>
                    <w:rPr>
                      <w:b/>
                      <w:bCs/>
                      <w:color w:val="auto"/>
                    </w:rPr>
                    <w:t>现状浓度（μg/m</w:t>
                  </w:r>
                  <w:r>
                    <w:rPr>
                      <w:b/>
                      <w:bCs/>
                      <w:color w:val="auto"/>
                      <w:vertAlign w:val="superscript"/>
                    </w:rPr>
                    <w:t>3</w:t>
                  </w:r>
                  <w:r>
                    <w:rPr>
                      <w:b/>
                      <w:bCs/>
                      <w:color w:val="auto"/>
                    </w:rPr>
                    <w:t>）</w:t>
                  </w:r>
                </w:p>
              </w:tc>
              <w:tc>
                <w:tcPr>
                  <w:tcW w:w="1396"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jc w:val="center"/>
                    <w:rPr>
                      <w:b/>
                      <w:bCs/>
                      <w:color w:val="auto"/>
                    </w:rPr>
                  </w:pPr>
                  <w:r>
                    <w:rPr>
                      <w:b/>
                      <w:bCs/>
                      <w:color w:val="auto"/>
                    </w:rPr>
                    <w:t>标准值（μg/m</w:t>
                  </w:r>
                  <w:r>
                    <w:rPr>
                      <w:b/>
                      <w:bCs/>
                      <w:color w:val="auto"/>
                      <w:vertAlign w:val="superscript"/>
                    </w:rPr>
                    <w:t>3</w:t>
                  </w:r>
                  <w:r>
                    <w:rPr>
                      <w:b/>
                      <w:bCs/>
                      <w:color w:val="auto"/>
                    </w:rPr>
                    <w:t>）</w:t>
                  </w:r>
                </w:p>
              </w:tc>
              <w:tc>
                <w:tcPr>
                  <w:tcW w:w="1003"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jc w:val="center"/>
                    <w:rPr>
                      <w:b/>
                      <w:bCs/>
                      <w:color w:val="auto"/>
                    </w:rPr>
                  </w:pPr>
                  <w:r>
                    <w:rPr>
                      <w:b/>
                      <w:bCs/>
                      <w:color w:val="auto"/>
                    </w:rPr>
                    <w:t>占标率/%</w:t>
                  </w:r>
                </w:p>
              </w:tc>
              <w:tc>
                <w:tcPr>
                  <w:tcW w:w="945" w:type="dxa"/>
                  <w:tcBorders>
                    <w:top w:val="single" w:color="auto" w:sz="12" w:space="0"/>
                    <w:left w:val="single" w:color="auto" w:sz="6" w:space="0"/>
                    <w:bottom w:val="single" w:color="auto" w:sz="6" w:space="0"/>
                    <w:right w:val="single" w:color="auto" w:sz="12" w:space="0"/>
                  </w:tcBorders>
                  <w:noWrap w:val="0"/>
                  <w:vAlign w:val="center"/>
                </w:tcPr>
                <w:p>
                  <w:pPr>
                    <w:adjustRightInd w:val="0"/>
                    <w:snapToGrid w:val="0"/>
                    <w:jc w:val="center"/>
                    <w:rPr>
                      <w:b/>
                      <w:bCs/>
                      <w:color w:val="auto"/>
                    </w:rPr>
                  </w:pPr>
                  <w:r>
                    <w:rPr>
                      <w:b/>
                      <w:bCs/>
                      <w:color w:val="auto"/>
                    </w:rPr>
                    <w:t>达标</w:t>
                  </w:r>
                </w:p>
                <w:p>
                  <w:pPr>
                    <w:adjustRightInd w:val="0"/>
                    <w:snapToGrid w:val="0"/>
                    <w:jc w:val="center"/>
                    <w:rPr>
                      <w:b/>
                      <w:bCs/>
                      <w:color w:val="auto"/>
                    </w:rPr>
                  </w:pPr>
                  <w:r>
                    <w:rPr>
                      <w:b/>
                      <w:bCs/>
                      <w:color w:val="auto"/>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06"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color w:val="auto"/>
                    </w:rPr>
                  </w:pPr>
                  <w:r>
                    <w:rPr>
                      <w:color w:val="auto"/>
                    </w:rPr>
                    <w:t>PM</w:t>
                  </w:r>
                  <w:r>
                    <w:rPr>
                      <w:color w:val="auto"/>
                      <w:vertAlign w:val="subscript"/>
                    </w:rPr>
                    <w:t>10</w:t>
                  </w:r>
                </w:p>
              </w:tc>
              <w:tc>
                <w:tcPr>
                  <w:tcW w:w="208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年平均质量浓度</w:t>
                  </w:r>
                </w:p>
              </w:tc>
              <w:tc>
                <w:tcPr>
                  <w:tcW w:w="153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66</w:t>
                  </w:r>
                </w:p>
              </w:tc>
              <w:tc>
                <w:tcPr>
                  <w:tcW w:w="139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70</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94.3</w:t>
                  </w:r>
                </w:p>
              </w:tc>
              <w:tc>
                <w:tcPr>
                  <w:tcW w:w="945"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color w:val="auto"/>
                    </w:rPr>
                  </w:pPr>
                  <w:r>
                    <w:rPr>
                      <w:rFonts w:hint="eastAsia"/>
                      <w:color w:val="auto"/>
                    </w:rPr>
                    <w:t>达</w:t>
                  </w:r>
                  <w:r>
                    <w:rPr>
                      <w:color w:val="auto"/>
                    </w:rPr>
                    <w:t>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06"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color w:val="auto"/>
                    </w:rPr>
                  </w:pPr>
                  <w:r>
                    <w:rPr>
                      <w:color w:val="auto"/>
                    </w:rPr>
                    <w:t>PM</w:t>
                  </w:r>
                  <w:r>
                    <w:rPr>
                      <w:color w:val="auto"/>
                      <w:vertAlign w:val="subscript"/>
                    </w:rPr>
                    <w:t>2.5</w:t>
                  </w:r>
                </w:p>
              </w:tc>
              <w:tc>
                <w:tcPr>
                  <w:tcW w:w="208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年平均质量浓度</w:t>
                  </w:r>
                </w:p>
              </w:tc>
              <w:tc>
                <w:tcPr>
                  <w:tcW w:w="153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30</w:t>
                  </w:r>
                </w:p>
              </w:tc>
              <w:tc>
                <w:tcPr>
                  <w:tcW w:w="139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35</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85.7</w:t>
                  </w:r>
                </w:p>
              </w:tc>
              <w:tc>
                <w:tcPr>
                  <w:tcW w:w="945"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color w:val="auto"/>
                    </w:rPr>
                  </w:pPr>
                  <w:r>
                    <w:rPr>
                      <w:rFonts w:hint="eastAsia"/>
                      <w:color w:val="auto"/>
                    </w:rPr>
                    <w:t>达</w:t>
                  </w:r>
                  <w:r>
                    <w:rPr>
                      <w:color w:val="auto"/>
                    </w:rPr>
                    <w:t>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06"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color w:val="auto"/>
                    </w:rPr>
                  </w:pPr>
                  <w:r>
                    <w:rPr>
                      <w:color w:val="auto"/>
                    </w:rPr>
                    <w:t>SO</w:t>
                  </w:r>
                  <w:r>
                    <w:rPr>
                      <w:color w:val="auto"/>
                      <w:vertAlign w:val="subscript"/>
                    </w:rPr>
                    <w:t>2</w:t>
                  </w:r>
                </w:p>
              </w:tc>
              <w:tc>
                <w:tcPr>
                  <w:tcW w:w="208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年平均质量浓度</w:t>
                  </w:r>
                </w:p>
              </w:tc>
              <w:tc>
                <w:tcPr>
                  <w:tcW w:w="153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eastAsia="宋体"/>
                      <w:color w:val="auto"/>
                      <w:lang w:eastAsia="zh-CN"/>
                    </w:rPr>
                  </w:pPr>
                  <w:r>
                    <w:rPr>
                      <w:rFonts w:hint="eastAsia"/>
                      <w:color w:val="auto"/>
                      <w:lang w:val="en-US" w:eastAsia="zh-CN"/>
                    </w:rPr>
                    <w:t>9</w:t>
                  </w:r>
                </w:p>
              </w:tc>
              <w:tc>
                <w:tcPr>
                  <w:tcW w:w="139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60</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15.0</w:t>
                  </w:r>
                </w:p>
              </w:tc>
              <w:tc>
                <w:tcPr>
                  <w:tcW w:w="945"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color w:val="auto"/>
                    </w:rPr>
                  </w:pPr>
                  <w:r>
                    <w:rPr>
                      <w:color w:val="auto"/>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06"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color w:val="auto"/>
                    </w:rPr>
                  </w:pPr>
                  <w:r>
                    <w:rPr>
                      <w:color w:val="auto"/>
                    </w:rPr>
                    <w:t>NO</w:t>
                  </w:r>
                  <w:r>
                    <w:rPr>
                      <w:color w:val="auto"/>
                      <w:vertAlign w:val="subscript"/>
                    </w:rPr>
                    <w:t>2</w:t>
                  </w:r>
                </w:p>
              </w:tc>
              <w:tc>
                <w:tcPr>
                  <w:tcW w:w="208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年平均质量浓度</w:t>
                  </w:r>
                </w:p>
              </w:tc>
              <w:tc>
                <w:tcPr>
                  <w:tcW w:w="153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22</w:t>
                  </w:r>
                </w:p>
              </w:tc>
              <w:tc>
                <w:tcPr>
                  <w:tcW w:w="139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40</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55.0</w:t>
                  </w:r>
                </w:p>
              </w:tc>
              <w:tc>
                <w:tcPr>
                  <w:tcW w:w="945"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color w:val="auto"/>
                    </w:rPr>
                  </w:pPr>
                  <w:r>
                    <w:rPr>
                      <w:color w:val="auto"/>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06"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color w:val="auto"/>
                    </w:rPr>
                  </w:pPr>
                  <w:r>
                    <w:rPr>
                      <w:color w:val="auto"/>
                    </w:rPr>
                    <w:t>CO</w:t>
                  </w:r>
                </w:p>
              </w:tc>
              <w:tc>
                <w:tcPr>
                  <w:tcW w:w="208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24小时平均第95百分数（mg/m</w:t>
                  </w:r>
                  <w:r>
                    <w:rPr>
                      <w:color w:val="auto"/>
                      <w:vertAlign w:val="superscript"/>
                    </w:rPr>
                    <w:t>3</w:t>
                  </w:r>
                  <w:r>
                    <w:rPr>
                      <w:color w:val="auto"/>
                    </w:rPr>
                    <w:t>）</w:t>
                  </w:r>
                </w:p>
              </w:tc>
              <w:tc>
                <w:tcPr>
                  <w:tcW w:w="153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0.8</w:t>
                  </w:r>
                </w:p>
              </w:tc>
              <w:tc>
                <w:tcPr>
                  <w:tcW w:w="139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color w:val="auto"/>
                    </w:rPr>
                  </w:pPr>
                  <w:r>
                    <w:rPr>
                      <w:color w:val="auto"/>
                    </w:rPr>
                    <w:t>4</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20.0</w:t>
                  </w:r>
                </w:p>
              </w:tc>
              <w:tc>
                <w:tcPr>
                  <w:tcW w:w="945"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color w:val="auto"/>
                    </w:rPr>
                  </w:pPr>
                  <w:r>
                    <w:rPr>
                      <w:color w:val="auto"/>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06" w:type="dxa"/>
                  <w:tcBorders>
                    <w:top w:val="single" w:color="auto" w:sz="6" w:space="0"/>
                    <w:left w:val="single" w:color="auto" w:sz="12" w:space="0"/>
                    <w:bottom w:val="single" w:color="auto" w:sz="12" w:space="0"/>
                    <w:right w:val="single" w:color="auto" w:sz="6" w:space="0"/>
                  </w:tcBorders>
                  <w:noWrap w:val="0"/>
                  <w:vAlign w:val="center"/>
                </w:tcPr>
                <w:p>
                  <w:pPr>
                    <w:adjustRightInd w:val="0"/>
                    <w:snapToGrid w:val="0"/>
                    <w:jc w:val="center"/>
                    <w:rPr>
                      <w:color w:val="auto"/>
                    </w:rPr>
                  </w:pPr>
                  <w:r>
                    <w:rPr>
                      <w:color w:val="auto"/>
                    </w:rPr>
                    <w:t>O</w:t>
                  </w:r>
                  <w:r>
                    <w:rPr>
                      <w:color w:val="auto"/>
                      <w:vertAlign w:val="subscript"/>
                    </w:rPr>
                    <w:t>3</w:t>
                  </w:r>
                </w:p>
              </w:tc>
              <w:tc>
                <w:tcPr>
                  <w:tcW w:w="2080" w:type="dxa"/>
                  <w:tcBorders>
                    <w:top w:val="single" w:color="auto" w:sz="6" w:space="0"/>
                    <w:left w:val="single" w:color="auto" w:sz="6" w:space="0"/>
                    <w:bottom w:val="single" w:color="auto" w:sz="12" w:space="0"/>
                    <w:right w:val="single" w:color="auto" w:sz="6" w:space="0"/>
                  </w:tcBorders>
                  <w:noWrap w:val="0"/>
                  <w:vAlign w:val="center"/>
                </w:tcPr>
                <w:p>
                  <w:pPr>
                    <w:adjustRightInd w:val="0"/>
                    <w:snapToGrid w:val="0"/>
                    <w:jc w:val="center"/>
                    <w:rPr>
                      <w:color w:val="auto"/>
                    </w:rPr>
                  </w:pPr>
                  <w:r>
                    <w:rPr>
                      <w:color w:val="auto"/>
                    </w:rPr>
                    <w:t>日最大8小时滑动平均值的第90百分数</w:t>
                  </w:r>
                </w:p>
              </w:tc>
              <w:tc>
                <w:tcPr>
                  <w:tcW w:w="1535" w:type="dxa"/>
                  <w:tcBorders>
                    <w:top w:val="single" w:color="auto" w:sz="6" w:space="0"/>
                    <w:left w:val="single" w:color="auto" w:sz="6" w:space="0"/>
                    <w:bottom w:val="single" w:color="auto" w:sz="12"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140</w:t>
                  </w:r>
                </w:p>
              </w:tc>
              <w:tc>
                <w:tcPr>
                  <w:tcW w:w="1396" w:type="dxa"/>
                  <w:tcBorders>
                    <w:top w:val="single" w:color="auto" w:sz="6" w:space="0"/>
                    <w:left w:val="single" w:color="auto" w:sz="6" w:space="0"/>
                    <w:bottom w:val="single" w:color="auto" w:sz="12" w:space="0"/>
                    <w:right w:val="single" w:color="auto" w:sz="6" w:space="0"/>
                  </w:tcBorders>
                  <w:noWrap w:val="0"/>
                  <w:vAlign w:val="center"/>
                </w:tcPr>
                <w:p>
                  <w:pPr>
                    <w:adjustRightInd w:val="0"/>
                    <w:snapToGrid w:val="0"/>
                    <w:jc w:val="center"/>
                    <w:rPr>
                      <w:color w:val="auto"/>
                    </w:rPr>
                  </w:pPr>
                  <w:r>
                    <w:rPr>
                      <w:color w:val="auto"/>
                    </w:rPr>
                    <w:t>160</w:t>
                  </w:r>
                </w:p>
              </w:tc>
              <w:tc>
                <w:tcPr>
                  <w:tcW w:w="1003" w:type="dxa"/>
                  <w:tcBorders>
                    <w:top w:val="single" w:color="auto" w:sz="6" w:space="0"/>
                    <w:left w:val="single" w:color="auto" w:sz="6" w:space="0"/>
                    <w:bottom w:val="single" w:color="auto" w:sz="12" w:space="0"/>
                    <w:right w:val="single" w:color="auto" w:sz="6" w:space="0"/>
                  </w:tcBorders>
                  <w:noWrap w:val="0"/>
                  <w:vAlign w:val="center"/>
                </w:tcPr>
                <w:p>
                  <w:pPr>
                    <w:adjustRightInd w:val="0"/>
                    <w:snapToGrid w:val="0"/>
                    <w:jc w:val="center"/>
                    <w:rPr>
                      <w:rFonts w:hint="default" w:eastAsia="宋体"/>
                      <w:color w:val="auto"/>
                      <w:lang w:val="en-US" w:eastAsia="zh-CN"/>
                    </w:rPr>
                  </w:pPr>
                  <w:r>
                    <w:rPr>
                      <w:rFonts w:hint="eastAsia"/>
                      <w:color w:val="auto"/>
                      <w:lang w:val="en-US" w:eastAsia="zh-CN"/>
                    </w:rPr>
                    <w:t>87.5</w:t>
                  </w:r>
                </w:p>
              </w:tc>
              <w:tc>
                <w:tcPr>
                  <w:tcW w:w="945" w:type="dxa"/>
                  <w:tcBorders>
                    <w:top w:val="single" w:color="auto" w:sz="6" w:space="0"/>
                    <w:left w:val="single" w:color="auto" w:sz="6" w:space="0"/>
                    <w:bottom w:val="single" w:color="auto" w:sz="12" w:space="0"/>
                    <w:right w:val="single" w:color="auto" w:sz="12" w:space="0"/>
                  </w:tcBorders>
                  <w:noWrap w:val="0"/>
                  <w:vAlign w:val="center"/>
                </w:tcPr>
                <w:p>
                  <w:pPr>
                    <w:adjustRightInd w:val="0"/>
                    <w:snapToGrid w:val="0"/>
                    <w:jc w:val="center"/>
                    <w:rPr>
                      <w:color w:val="auto"/>
                    </w:rPr>
                  </w:pPr>
                  <w:r>
                    <w:rPr>
                      <w:rFonts w:hint="eastAsia"/>
                      <w:color w:val="auto"/>
                    </w:rPr>
                    <w:t>达</w:t>
                  </w:r>
                  <w:r>
                    <w:rPr>
                      <w:color w:val="auto"/>
                    </w:rPr>
                    <w:t>标</w:t>
                  </w:r>
                </w:p>
              </w:tc>
            </w:tr>
          </w:tbl>
          <w:p>
            <w:pPr>
              <w:pStyle w:val="49"/>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Times New Roman" w:hAnsi="Times New Roman" w:cs="Times New Roman"/>
                <w:color w:val="auto"/>
                <w:highlight w:val="none"/>
              </w:rPr>
            </w:pPr>
            <w:r>
              <w:rPr>
                <w:rFonts w:hint="eastAsia"/>
                <w:color w:val="auto"/>
                <w:highlight w:val="none"/>
                <w:lang w:eastAsia="zh-CN"/>
              </w:rPr>
              <w:t>根据</w:t>
            </w:r>
            <w:r>
              <w:rPr>
                <w:rFonts w:hint="eastAsia"/>
                <w:color w:val="auto"/>
                <w:highlight w:val="none"/>
                <w:lang w:val="en-US" w:eastAsia="zh-CN"/>
              </w:rPr>
              <w:t>HJ663-2013判定，项目所在区大气环境质量现状达标</w:t>
            </w:r>
            <w:r>
              <w:rPr>
                <w:rFonts w:hint="default"/>
                <w:color w:val="auto"/>
                <w:highlight w:val="none"/>
              </w:rPr>
              <w:t>。</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3.地表水环境质量状况</w:t>
            </w:r>
          </w:p>
          <w:p>
            <w:pPr>
              <w:pStyle w:val="49"/>
              <w:keepNext w:val="0"/>
              <w:keepLines w:val="0"/>
              <w:pageBreakBefore w:val="0"/>
              <w:widowControl w:val="0"/>
              <w:kinsoku/>
              <w:wordWrap/>
              <w:topLinePunct w:val="0"/>
              <w:autoSpaceDE/>
              <w:autoSpaceDN/>
              <w:bidi w:val="0"/>
              <w:adjustRightInd w:val="0"/>
              <w:snapToGrid w:val="0"/>
              <w:spacing w:line="360" w:lineRule="auto"/>
              <w:rPr>
                <w:rFonts w:hint="eastAsia" w:cs="Times New Roman"/>
                <w:color w:val="auto"/>
                <w:lang w:val="en-US" w:eastAsia="zh-CN"/>
              </w:rPr>
            </w:pPr>
            <w:r>
              <w:rPr>
                <w:rFonts w:hint="default" w:ascii="Times New Roman" w:hAnsi="Times New Roman" w:cs="Times New Roman"/>
                <w:color w:val="auto"/>
                <w:lang w:eastAsia="zh-CN"/>
              </w:rPr>
              <w:t>根据《建设项目环境影响报告表编制技术指南》（生态影响类）要求：“项目涉及的水、大气、声、土壤等其他环境要素，应明确项目所在区域的环境质量现状”。根据现场调查及已有资料显示，</w:t>
            </w:r>
            <w:r>
              <w:rPr>
                <w:rFonts w:hint="eastAsia" w:cs="Times New Roman"/>
                <w:color w:val="auto"/>
                <w:lang w:val="en-US" w:eastAsia="zh-CN"/>
              </w:rPr>
              <w:t>本项目海原风电2地块北侧紧邻西河</w:t>
            </w:r>
            <w:r>
              <w:rPr>
                <w:rFonts w:hint="eastAsia" w:cs="Times New Roman"/>
                <w:color w:val="auto"/>
                <w:lang w:eastAsia="zh-CN"/>
              </w:rPr>
              <w:t>，</w:t>
            </w:r>
            <w:r>
              <w:rPr>
                <w:rFonts w:hint="eastAsia" w:cs="Times New Roman"/>
                <w:color w:val="auto"/>
                <w:lang w:val="en-US" w:eastAsia="zh-CN"/>
              </w:rPr>
              <w:t>属于清水河支流。本次对于清水河的现状评价引用《2022年宁夏生态环境质量状况》中三营断面，该断面各项监测因子均可满足《地表水环境质量标准》（GB3838-2002）中</w:t>
            </w:r>
            <w:r>
              <w:rPr>
                <w:rFonts w:hint="eastAsia" w:cs="Times New Roman"/>
                <w:color w:val="auto"/>
                <w:lang w:val="en-US" w:eastAsia="zh-CN"/>
              </w:rPr>
              <w:fldChar w:fldCharType="begin"/>
            </w:r>
            <w:r>
              <w:rPr>
                <w:rFonts w:hint="eastAsia" w:cs="Times New Roman"/>
                <w:color w:val="auto"/>
                <w:lang w:val="en-US" w:eastAsia="zh-CN"/>
              </w:rPr>
              <w:instrText xml:space="preserve"> = 4 \* ROMAN \* MERGEFORMAT </w:instrText>
            </w:r>
            <w:r>
              <w:rPr>
                <w:rFonts w:hint="eastAsia" w:cs="Times New Roman"/>
                <w:color w:val="auto"/>
                <w:lang w:val="en-US" w:eastAsia="zh-CN"/>
              </w:rPr>
              <w:fldChar w:fldCharType="separate"/>
            </w:r>
            <w:r>
              <w:rPr>
                <w:rFonts w:hint="eastAsia" w:cs="Times New Roman"/>
                <w:color w:val="auto"/>
                <w:lang w:eastAsia="zh-CN"/>
              </w:rPr>
              <w:t>IV</w:t>
            </w:r>
            <w:r>
              <w:rPr>
                <w:rFonts w:hint="eastAsia" w:cs="Times New Roman"/>
                <w:color w:val="auto"/>
                <w:lang w:val="en-US" w:eastAsia="zh-CN"/>
              </w:rPr>
              <w:fldChar w:fldCharType="end"/>
            </w:r>
            <w:r>
              <w:rPr>
                <w:rFonts w:hint="eastAsia" w:cs="Times New Roman"/>
                <w:color w:val="auto"/>
                <w:lang w:val="en-US" w:eastAsia="zh-CN"/>
              </w:rPr>
              <w:t>类水质标准要求。</w:t>
            </w:r>
          </w:p>
          <w:p>
            <w:pPr>
              <w:pStyle w:val="49"/>
              <w:bidi w:val="0"/>
              <w:rPr>
                <w:rFonts w:hint="default"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4</w:t>
            </w:r>
            <w:r>
              <w:rPr>
                <w:rFonts w:hint="default" w:ascii="Times New Roman" w:hAnsi="Times New Roman" w:cs="Times New Roman"/>
                <w:b/>
                <w:bCs/>
                <w:color w:val="auto"/>
                <w:lang w:val="en-US" w:eastAsia="zh-CN"/>
              </w:rPr>
              <w:t>.声环境质量状况</w:t>
            </w:r>
          </w:p>
          <w:p>
            <w:pPr>
              <w:pStyle w:val="60"/>
              <w:keepNext w:val="0"/>
              <w:keepLines w:val="0"/>
              <w:pageBreakBefore w:val="0"/>
              <w:widowControl w:val="0"/>
              <w:kinsoku/>
              <w:wordWrap/>
              <w:topLinePunct w:val="0"/>
              <w:autoSpaceDE/>
              <w:autoSpaceDN/>
              <w:bidi w:val="0"/>
              <w:adjustRightInd w:val="0"/>
              <w:snapToGrid w:val="0"/>
              <w:spacing w:line="360" w:lineRule="auto"/>
              <w:ind w:firstLine="480" w:firstLineChars="200"/>
              <w:rPr>
                <w:rFonts w:hint="default" w:ascii="Times New Roman" w:hAnsi="Times New Roman" w:eastAsia="仿宋_GB2312" w:cs="Times New Roman"/>
                <w:color w:val="auto"/>
                <w:kern w:val="2"/>
                <w:szCs w:val="24"/>
              </w:rPr>
            </w:pPr>
            <w:r>
              <w:rPr>
                <w:rFonts w:hint="default" w:ascii="Times New Roman" w:hAnsi="Times New Roman" w:eastAsia="仿宋_GB2312" w:cs="Times New Roman"/>
                <w:color w:val="auto"/>
                <w:sz w:val="24"/>
                <w:szCs w:val="24"/>
                <w:lang w:eastAsia="zh-CN"/>
              </w:rPr>
              <w:t>根据《建设项目环境影响报告表编制技术指南》（生态影响类）要求：“项目涉及的水、大气、声、土壤等其他环境要素，应明确项目所在区域的环境质量现状”。根据实地调查，</w:t>
            </w:r>
            <w:r>
              <w:rPr>
                <w:rFonts w:hint="eastAsia" w:eastAsia="仿宋_GB2312" w:cs="Times New Roman"/>
                <w:color w:val="auto"/>
                <w:sz w:val="24"/>
                <w:szCs w:val="24"/>
                <w:lang w:eastAsia="zh-CN"/>
              </w:rPr>
              <w:t>本工程建成后</w:t>
            </w:r>
            <w:r>
              <w:rPr>
                <w:rFonts w:hint="default" w:ascii="Times New Roman" w:hAnsi="Times New Roman" w:eastAsia="仿宋_GB2312" w:cs="Times New Roman"/>
                <w:color w:val="auto"/>
                <w:sz w:val="24"/>
                <w:szCs w:val="24"/>
                <w:lang w:val="en-US" w:eastAsia="zh-CN"/>
              </w:rPr>
              <w:t>场</w:t>
            </w:r>
            <w:r>
              <w:rPr>
                <w:rFonts w:hint="default" w:ascii="Times New Roman" w:hAnsi="Times New Roman" w:eastAsia="仿宋_GB2312" w:cs="Times New Roman"/>
                <w:color w:val="auto"/>
                <w:sz w:val="24"/>
                <w:szCs w:val="24"/>
                <w:lang w:eastAsia="zh-CN"/>
              </w:rPr>
              <w:t>界外周边</w:t>
            </w:r>
            <w:r>
              <w:rPr>
                <w:rFonts w:hint="default" w:ascii="Times New Roman" w:hAnsi="Times New Roman" w:eastAsia="仿宋_GB2312" w:cs="Times New Roman"/>
                <w:color w:val="auto"/>
                <w:sz w:val="24"/>
                <w:szCs w:val="24"/>
                <w:lang w:val="en-US" w:eastAsia="zh-CN"/>
              </w:rPr>
              <w:t>50</w:t>
            </w:r>
            <w:r>
              <w:rPr>
                <w:rFonts w:hint="default" w:ascii="Times New Roman" w:hAnsi="Times New Roman" w:eastAsia="仿宋_GB2312" w:cs="Times New Roman"/>
                <w:color w:val="auto"/>
                <w:sz w:val="24"/>
                <w:szCs w:val="24"/>
                <w:lang w:eastAsia="zh-CN"/>
              </w:rPr>
              <w:t>米范围内无环境敏感目标，因此，不再开展声环境质量现状调查</w:t>
            </w:r>
            <w:r>
              <w:rPr>
                <w:rFonts w:hint="default" w:ascii="Times New Roman" w:hAnsi="Times New Roman" w:eastAsia="仿宋_GB2312" w:cs="Times New Roman"/>
                <w:color w:val="auto"/>
                <w:kern w:val="2"/>
                <w:szCs w:val="24"/>
              </w:rPr>
              <w:t>。</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5.地下水及土壤环境质量状况</w:t>
            </w:r>
          </w:p>
          <w:p>
            <w:pPr>
              <w:pStyle w:val="49"/>
              <w:keepNext w:val="0"/>
              <w:keepLines w:val="0"/>
              <w:pageBreakBefore w:val="0"/>
              <w:widowControl w:val="0"/>
              <w:kinsoku/>
              <w:wordWrap/>
              <w:topLinePunct w:val="0"/>
              <w:autoSpaceDE/>
              <w:autoSpaceDN/>
              <w:bidi w:val="0"/>
              <w:adjustRightInd w:val="0"/>
              <w:snapToGrid w:val="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根据《建设项目环境影响报告表编制技术指南》（生态影响类）要求：“项目涉及的水、大气、声、土壤等其他环境要素，应明确项目所在区域的环境质量现状”。本项目为</w:t>
            </w:r>
            <w:r>
              <w:rPr>
                <w:rFonts w:hint="eastAsia" w:cs="Times New Roman"/>
                <w:color w:val="auto"/>
                <w:sz w:val="24"/>
                <w:szCs w:val="24"/>
                <w:lang w:eastAsia="zh-CN"/>
              </w:rPr>
              <w:t>风力发电建设</w:t>
            </w:r>
            <w:r>
              <w:rPr>
                <w:rFonts w:hint="default" w:ascii="Times New Roman" w:hAnsi="Times New Roman" w:eastAsia="仿宋_GB2312" w:cs="Times New Roman"/>
                <w:color w:val="auto"/>
                <w:sz w:val="24"/>
                <w:szCs w:val="24"/>
              </w:rPr>
              <w:t>项目，不存在</w:t>
            </w:r>
            <w:r>
              <w:rPr>
                <w:rFonts w:hint="default" w:ascii="Times New Roman" w:hAnsi="Times New Roman" w:cs="Times New Roman"/>
                <w:color w:val="auto"/>
                <w:sz w:val="24"/>
                <w:szCs w:val="24"/>
                <w:lang w:eastAsia="zh-CN"/>
              </w:rPr>
              <w:t>地下水及</w:t>
            </w:r>
            <w:r>
              <w:rPr>
                <w:rFonts w:hint="default" w:ascii="Times New Roman" w:hAnsi="Times New Roman" w:eastAsia="仿宋_GB2312" w:cs="Times New Roman"/>
                <w:color w:val="auto"/>
                <w:sz w:val="24"/>
                <w:szCs w:val="24"/>
              </w:rPr>
              <w:t>土壤环境污染途径</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因此本项目不</w:t>
            </w:r>
            <w:r>
              <w:rPr>
                <w:rFonts w:hint="default" w:ascii="Times New Roman" w:hAnsi="Times New Roman" w:eastAsia="仿宋_GB2312" w:cs="Times New Roman"/>
                <w:color w:val="auto"/>
                <w:sz w:val="24"/>
                <w:szCs w:val="24"/>
                <w:lang w:eastAsia="zh-CN"/>
              </w:rPr>
              <w:t>再开展</w:t>
            </w:r>
            <w:r>
              <w:rPr>
                <w:rFonts w:hint="default" w:ascii="Times New Roman" w:hAnsi="Times New Roman" w:eastAsia="仿宋_GB2312" w:cs="Times New Roman"/>
                <w:color w:val="auto"/>
                <w:sz w:val="24"/>
                <w:szCs w:val="24"/>
              </w:rPr>
              <w:t>地下水、土壤环境现状调查。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86" w:hRule="atLeast"/>
          <w:jc w:val="center"/>
        </w:trPr>
        <w:tc>
          <w:tcPr>
            <w:tcW w:w="71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生态环境现状</w:t>
            </w:r>
          </w:p>
        </w:tc>
        <w:tc>
          <w:tcPr>
            <w:tcW w:w="8643" w:type="dxa"/>
            <w:vMerge w:val="continue"/>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86" w:hRule="atLeast"/>
          <w:jc w:val="center"/>
        </w:trPr>
        <w:tc>
          <w:tcPr>
            <w:tcW w:w="71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生态环境现状</w:t>
            </w:r>
          </w:p>
        </w:tc>
        <w:tc>
          <w:tcPr>
            <w:tcW w:w="8643" w:type="dxa"/>
            <w:vMerge w:val="continue"/>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11" w:type="dxa"/>
            <w:tcBorders>
              <w:tl2br w:val="nil"/>
              <w:tr2bl w:val="nil"/>
            </w:tcBorders>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生态环境现状</w:t>
            </w:r>
          </w:p>
        </w:tc>
        <w:tc>
          <w:tcPr>
            <w:tcW w:w="8643" w:type="dxa"/>
            <w:vMerge w:val="continue"/>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711" w:type="dxa"/>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与项目有关的原有环境污染和生态破坏问题</w:t>
            </w:r>
          </w:p>
        </w:tc>
        <w:tc>
          <w:tcPr>
            <w:tcW w:w="8643" w:type="dxa"/>
            <w:tcBorders>
              <w:tl2br w:val="nil"/>
              <w:tr2bl w:val="nil"/>
            </w:tcBorders>
            <w:vAlign w:val="top"/>
          </w:tcPr>
          <w:p>
            <w:pPr>
              <w:pStyle w:val="49"/>
              <w:keepNext w:val="0"/>
              <w:keepLines w:val="0"/>
              <w:pageBreakBefore w:val="0"/>
              <w:widowControl w:val="0"/>
              <w:kinsoku/>
              <w:wordWrap/>
              <w:overflowPunct w:val="0"/>
              <w:topLinePunct w:val="0"/>
              <w:autoSpaceDE/>
              <w:autoSpaceDN/>
              <w:bidi w:val="0"/>
              <w:adjustRightInd w:val="0"/>
              <w:snapToGrid w:val="0"/>
              <w:spacing w:before="157" w:beforeLines="50"/>
              <w:jc w:val="both"/>
              <w:textAlignment w:val="auto"/>
              <w:rPr>
                <w:rFonts w:hint="default"/>
                <w:color w:val="auto"/>
                <w:highlight w:val="none"/>
                <w:lang w:val="en-US" w:eastAsia="zh-CN"/>
              </w:rPr>
            </w:pPr>
            <w:r>
              <w:rPr>
                <w:rFonts w:hint="eastAsia"/>
                <w:color w:val="auto"/>
                <w:highlight w:val="none"/>
                <w:lang w:eastAsia="zh-CN"/>
              </w:rPr>
              <w:t>本项目为新建项目，永久占地</w:t>
            </w:r>
            <w:r>
              <w:rPr>
                <w:rFonts w:hint="eastAsia"/>
                <w:color w:val="auto"/>
                <w:highlight w:val="none"/>
                <w:lang w:val="zh-CN" w:eastAsia="zh-CN"/>
              </w:rPr>
              <w:t>类型主要为：农用地</w:t>
            </w:r>
            <w:r>
              <w:rPr>
                <w:rFonts w:hint="eastAsia"/>
                <w:color w:val="auto"/>
                <w:highlight w:val="none"/>
                <w:lang w:eastAsia="zh-CN"/>
              </w:rPr>
              <w:t>。</w:t>
            </w:r>
            <w:r>
              <w:rPr>
                <w:rFonts w:hint="eastAsia"/>
                <w:color w:val="auto"/>
                <w:highlight w:val="none"/>
                <w:lang w:val="en-US" w:eastAsia="zh-CN"/>
              </w:rPr>
              <w:t>不存在与项目有关的原有环境污染和生态破坏问题</w:t>
            </w:r>
            <w:r>
              <w:rPr>
                <w:rFonts w:hint="eastAsia"/>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711" w:type="dxa"/>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生态环境保护目标</w:t>
            </w:r>
          </w:p>
        </w:tc>
        <w:tc>
          <w:tcPr>
            <w:tcW w:w="8643" w:type="dxa"/>
            <w:tcBorders>
              <w:tl2br w:val="nil"/>
              <w:tr2bl w:val="nil"/>
            </w:tcBorders>
            <w:vAlign w:val="top"/>
          </w:tcPr>
          <w:p>
            <w:pPr>
              <w:pStyle w:val="49"/>
              <w:bidi w:val="0"/>
              <w:ind w:left="0" w:leftChars="0" w:firstLine="480" w:firstLineChars="200"/>
              <w:jc w:val="both"/>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项目建设地点位于</w:t>
            </w:r>
            <w:r>
              <w:rPr>
                <w:rFonts w:hint="eastAsia" w:cs="Times New Roman"/>
                <w:color w:val="auto"/>
                <w:highlight w:val="none"/>
                <w:lang w:val="en-US" w:eastAsia="zh-CN"/>
              </w:rPr>
              <w:t>中卫市海原县</w:t>
            </w:r>
            <w:r>
              <w:rPr>
                <w:rFonts w:hint="default" w:ascii="Times New Roman" w:hAnsi="Times New Roman" w:cs="Times New Roman"/>
                <w:color w:val="auto"/>
                <w:highlight w:val="none"/>
                <w:lang w:val="en-US" w:eastAsia="zh-CN"/>
              </w:rPr>
              <w:t>，根据现场调查，评价范围内无水源地、名胜古迹、自然保护区、温泉、疗养地等国家明令规定的保护对象。环境保护目标主要为占地范围内的生态环境。</w:t>
            </w:r>
          </w:p>
          <w:p>
            <w:pPr>
              <w:pStyle w:val="49"/>
              <w:bidi w:val="0"/>
              <w:spacing w:line="240" w:lineRule="auto"/>
              <w:ind w:left="0" w:leftChars="0" w:firstLine="480" w:firstLineChars="200"/>
              <w:jc w:val="both"/>
              <w:rPr>
                <w:rFonts w:hint="eastAsia" w:ascii="Times New Roman" w:hAnsi="Times New Roman" w:eastAsia="黑体" w:cs="Times New Roman"/>
                <w:b w:val="0"/>
                <w:bCs w:val="0"/>
                <w:color w:val="auto"/>
                <w:kern w:val="2"/>
                <w:sz w:val="24"/>
                <w:szCs w:val="24"/>
                <w:lang w:val="en-US" w:eastAsia="zh-CN" w:bidi="ar-SA"/>
              </w:rPr>
            </w:pPr>
            <w:r>
              <w:rPr>
                <w:rFonts w:hint="eastAsia" w:ascii="Times New Roman" w:hAnsi="Times New Roman" w:eastAsia="黑体" w:cs="Times New Roman"/>
                <w:b w:val="0"/>
                <w:bCs w:val="0"/>
                <w:color w:val="auto"/>
                <w:kern w:val="2"/>
                <w:sz w:val="24"/>
                <w:szCs w:val="24"/>
                <w:lang w:val="en-US" w:eastAsia="zh-CN" w:bidi="ar-SA"/>
              </w:rPr>
              <w:t>表3-2                 项目环境保护目标一览表</w:t>
            </w:r>
          </w:p>
          <w:tbl>
            <w:tblPr>
              <w:tblStyle w:val="28"/>
              <w:tblW w:w="84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3"/>
              <w:gridCol w:w="690"/>
              <w:gridCol w:w="1100"/>
              <w:gridCol w:w="1060"/>
              <w:gridCol w:w="700"/>
              <w:gridCol w:w="1210"/>
              <w:gridCol w:w="3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23" w:type="dxa"/>
                  <w:noWrap w:val="0"/>
                  <w:vAlign w:val="center"/>
                </w:tcPr>
                <w:p>
                  <w:pPr>
                    <w:adjustRightInd w:val="0"/>
                    <w:snapToGrid w:val="0"/>
                    <w:jc w:val="center"/>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名称</w:t>
                  </w:r>
                </w:p>
              </w:tc>
              <w:tc>
                <w:tcPr>
                  <w:tcW w:w="690" w:type="dxa"/>
                  <w:tcBorders>
                    <w:right w:val="single" w:color="auto" w:sz="4" w:space="0"/>
                  </w:tcBorders>
                  <w:noWrap w:val="0"/>
                  <w:vAlign w:val="center"/>
                </w:tcPr>
                <w:p>
                  <w:pPr>
                    <w:adjustRightInd w:val="0"/>
                    <w:snapToGrid w:val="0"/>
                    <w:jc w:val="center"/>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规模</w:t>
                  </w:r>
                </w:p>
              </w:tc>
              <w:tc>
                <w:tcPr>
                  <w:tcW w:w="1100" w:type="dxa"/>
                  <w:tcBorders>
                    <w:left w:val="single" w:color="auto" w:sz="4" w:space="0"/>
                  </w:tcBorders>
                  <w:noWrap w:val="0"/>
                  <w:vAlign w:val="center"/>
                </w:tcPr>
                <w:p>
                  <w:pPr>
                    <w:adjustRightInd w:val="0"/>
                    <w:snapToGrid w:val="0"/>
                    <w:jc w:val="center"/>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功能分区</w:t>
                  </w:r>
                </w:p>
              </w:tc>
              <w:tc>
                <w:tcPr>
                  <w:tcW w:w="1060" w:type="dxa"/>
                  <w:noWrap w:val="0"/>
                  <w:vAlign w:val="center"/>
                </w:tcPr>
                <w:p>
                  <w:pPr>
                    <w:adjustRightInd w:val="0"/>
                    <w:snapToGrid w:val="0"/>
                    <w:jc w:val="center"/>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保护对象</w:t>
                  </w:r>
                </w:p>
              </w:tc>
              <w:tc>
                <w:tcPr>
                  <w:tcW w:w="700" w:type="dxa"/>
                  <w:noWrap w:val="0"/>
                  <w:vAlign w:val="center"/>
                </w:tcPr>
                <w:p>
                  <w:pPr>
                    <w:adjustRightInd w:val="0"/>
                    <w:snapToGrid w:val="0"/>
                    <w:jc w:val="center"/>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方位</w:t>
                  </w:r>
                </w:p>
              </w:tc>
              <w:tc>
                <w:tcPr>
                  <w:tcW w:w="1210" w:type="dxa"/>
                  <w:noWrap w:val="0"/>
                  <w:vAlign w:val="center"/>
                </w:tcPr>
                <w:p>
                  <w:pPr>
                    <w:adjustRightInd w:val="0"/>
                    <w:snapToGrid w:val="0"/>
                    <w:jc w:val="center"/>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距离（m）</w:t>
                  </w:r>
                </w:p>
              </w:tc>
              <w:tc>
                <w:tcPr>
                  <w:tcW w:w="3094" w:type="dxa"/>
                  <w:noWrap w:val="0"/>
                  <w:vAlign w:val="center"/>
                </w:tcPr>
                <w:p>
                  <w:pPr>
                    <w:adjustRightInd w:val="0"/>
                    <w:snapToGrid w:val="0"/>
                    <w:jc w:val="center"/>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保护要求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6" w:hRule="atLeast"/>
                <w:jc w:val="center"/>
              </w:trPr>
              <w:tc>
                <w:tcPr>
                  <w:tcW w:w="623" w:type="dxa"/>
                  <w:noWrap w:val="0"/>
                  <w:vAlign w:val="center"/>
                </w:tcPr>
                <w:p>
                  <w:pPr>
                    <w:adjustRightInd w:val="0"/>
                    <w:snapToGrid w:val="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生态</w:t>
                  </w:r>
                </w:p>
                <w:p>
                  <w:pPr>
                    <w:adjustRightInd w:val="0"/>
                    <w:snapToGrid w:val="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环境</w:t>
                  </w:r>
                </w:p>
              </w:tc>
              <w:tc>
                <w:tcPr>
                  <w:tcW w:w="4760" w:type="dxa"/>
                  <w:gridSpan w:val="5"/>
                  <w:noWrap w:val="0"/>
                  <w:vAlign w:val="center"/>
                </w:tcPr>
                <w:p>
                  <w:pPr>
                    <w:adjustRightInd w:val="0"/>
                    <w:snapToGrid w:val="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项目占地范围内，保护项目场址及周边生态系统，使评价范围内植被、土壤控制在最小破坏程度，并逐步补偿和恢复，保证周边植被正常生长。</w:t>
                  </w:r>
                </w:p>
              </w:tc>
              <w:tc>
                <w:tcPr>
                  <w:tcW w:w="3094" w:type="dxa"/>
                  <w:noWrap w:val="0"/>
                  <w:vAlign w:val="center"/>
                </w:tcPr>
                <w:p>
                  <w:pPr>
                    <w:adjustRightInd w:val="0"/>
                    <w:snapToGrid w:val="0"/>
                    <w:jc w:val="center"/>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b w:val="0"/>
                      <w:bCs w:val="0"/>
                      <w:color w:val="auto"/>
                      <w:lang w:val="en-US" w:eastAsia="zh-CN"/>
                    </w:rPr>
                    <w:t>对风机基础、箱变基础等回填后对地面进行压实；在堆土场表面外围采取防尘布遮盖，表面覆盖砾石块；道路平整，推平碾压。经以上措施后，可改善区域的环境空气质量和生态环境现状。</w:t>
                  </w:r>
                </w:p>
              </w:tc>
            </w:tr>
          </w:tbl>
          <w:p>
            <w:pPr>
              <w:pStyle w:val="49"/>
              <w:bidi w:val="0"/>
              <w:ind w:left="0" w:leftChars="0" w:firstLine="480" w:firstLineChars="200"/>
              <w:jc w:val="both"/>
              <w:rPr>
                <w:rFonts w:hint="eastAsia" w:cs="Times New Roman"/>
                <w:color w:val="auto"/>
                <w:highlight w:val="none"/>
                <w:lang w:val="en-US" w:eastAsia="zh-CN"/>
              </w:rPr>
            </w:pPr>
          </w:p>
          <w:p>
            <w:pPr>
              <w:pStyle w:val="49"/>
              <w:bidi w:val="0"/>
              <w:ind w:left="0" w:leftChars="0" w:firstLine="480" w:firstLineChars="200"/>
              <w:jc w:val="both"/>
              <w:rPr>
                <w:rFonts w:hint="eastAsia" w:cs="Times New Roman"/>
                <w:color w:val="auto"/>
                <w:highlight w:val="none"/>
                <w:lang w:val="en-US" w:eastAsia="zh-CN"/>
              </w:rPr>
            </w:pPr>
          </w:p>
          <w:p>
            <w:pPr>
              <w:pStyle w:val="49"/>
              <w:bidi w:val="0"/>
              <w:ind w:left="0" w:leftChars="0" w:firstLine="480" w:firstLineChars="200"/>
              <w:jc w:val="both"/>
              <w:rPr>
                <w:rFonts w:hint="eastAsia" w:cs="Times New Roman"/>
                <w:color w:val="auto"/>
                <w:highlight w:val="none"/>
                <w:lang w:val="en-US" w:eastAsia="zh-CN"/>
              </w:rPr>
            </w:pPr>
          </w:p>
          <w:p>
            <w:pPr>
              <w:pStyle w:val="49"/>
              <w:bidi w:val="0"/>
              <w:ind w:left="0" w:leftChars="0" w:firstLine="480" w:firstLineChars="200"/>
              <w:jc w:val="both"/>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52" w:hRule="atLeast"/>
          <w:jc w:val="center"/>
        </w:trPr>
        <w:tc>
          <w:tcPr>
            <w:tcW w:w="711" w:type="dxa"/>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评价标准</w:t>
            </w:r>
          </w:p>
        </w:tc>
        <w:tc>
          <w:tcPr>
            <w:tcW w:w="8643" w:type="dxa"/>
            <w:vMerge w:val="restart"/>
            <w:tcBorders>
              <w:tl2br w:val="nil"/>
              <w:tr2bl w:val="nil"/>
            </w:tcBorders>
            <w:vAlign w:val="center"/>
          </w:tcPr>
          <w:p>
            <w:pPr>
              <w:pStyle w:val="48"/>
              <w:bidi w:val="0"/>
              <w:ind w:firstLine="482" w:firstLineChars="200"/>
              <w:rPr>
                <w:rFonts w:hint="default" w:ascii="Times New Roman" w:hAnsi="Times New Roman" w:eastAsia="仿宋_GB2312" w:cs="Times New Roman"/>
                <w:b/>
                <w:bCs/>
                <w:color w:val="auto"/>
                <w:kern w:val="16"/>
                <w:sz w:val="24"/>
                <w:szCs w:val="24"/>
                <w:lang w:val="en-US" w:eastAsia="zh-CN" w:bidi="ar-SA"/>
              </w:rPr>
            </w:pPr>
            <w:r>
              <w:rPr>
                <w:rFonts w:hint="default" w:ascii="Times New Roman" w:hAnsi="Times New Roman" w:eastAsia="仿宋_GB2312" w:cs="Times New Roman"/>
                <w:b/>
                <w:bCs/>
                <w:color w:val="auto"/>
                <w:kern w:val="16"/>
                <w:sz w:val="24"/>
                <w:szCs w:val="24"/>
                <w:lang w:val="en-US" w:eastAsia="zh-CN" w:bidi="ar-SA"/>
              </w:rPr>
              <w:t>1.环境质量标准</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（1）大气环境</w:t>
            </w:r>
          </w:p>
          <w:p>
            <w:pPr>
              <w:pStyle w:val="49"/>
              <w:bidi w:val="0"/>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color w:val="auto"/>
              </w:rPr>
              <w:t>区域大气环境执行《环境空气质量标准》（GB3095-2012</w:t>
            </w:r>
            <w:r>
              <w:rPr>
                <w:rFonts w:hint="eastAsia"/>
                <w:color w:val="auto"/>
                <w:lang w:eastAsia="zh-CN"/>
              </w:rPr>
              <w:t>修改单</w:t>
            </w:r>
            <w:r>
              <w:rPr>
                <w:rFonts w:hint="default" w:ascii="Times New Roman" w:hAnsi="Times New Roman" w:cs="Times New Roman"/>
                <w:color w:val="auto"/>
              </w:rPr>
              <w:t>）二级标准</w:t>
            </w:r>
            <w:r>
              <w:rPr>
                <w:rFonts w:hint="default" w:ascii="Times New Roman" w:hAnsi="Times New Roman" w:cs="Times New Roman"/>
                <w:color w:val="auto"/>
                <w:lang w:eastAsia="zh-CN"/>
              </w:rPr>
              <w:t>，具体见表</w:t>
            </w:r>
            <w:r>
              <w:rPr>
                <w:rFonts w:hint="eastAsia" w:cs="Times New Roman"/>
                <w:color w:val="auto"/>
                <w:lang w:val="en-US" w:eastAsia="zh-CN"/>
              </w:rPr>
              <w:t>20</w:t>
            </w:r>
            <w:r>
              <w:rPr>
                <w:rFonts w:hint="default" w:ascii="Times New Roman" w:hAnsi="Times New Roman" w:cs="Times New Roman"/>
                <w:color w:val="auto"/>
                <w:lang w:val="en-US" w:eastAsia="zh-CN"/>
              </w:rPr>
              <w:t>。</w:t>
            </w:r>
          </w:p>
          <w:p>
            <w:pPr>
              <w:pStyle w:val="101"/>
              <w:bidi w:val="0"/>
              <w:ind w:firstLine="480" w:firstLineChars="200"/>
              <w:jc w:val="both"/>
              <w:rPr>
                <w:rFonts w:hint="default" w:ascii="Times New Roman" w:hAnsi="Times New Roman" w:eastAsia="宋体" w:cs="Times New Roman"/>
                <w:b w:val="0"/>
                <w:bCs/>
                <w:color w:val="auto"/>
                <w:kern w:val="16"/>
                <w:sz w:val="24"/>
                <w:szCs w:val="24"/>
                <w:lang w:val="en-US" w:eastAsia="zh-CN" w:bidi="ar-SA"/>
              </w:rPr>
            </w:pPr>
            <w:r>
              <w:rPr>
                <w:rFonts w:hint="default" w:ascii="Times New Roman" w:hAnsi="Times New Roman" w:eastAsia="宋体" w:cs="Times New Roman"/>
                <w:b w:val="0"/>
                <w:bCs/>
                <w:color w:val="auto"/>
                <w:kern w:val="16"/>
                <w:sz w:val="24"/>
                <w:szCs w:val="24"/>
                <w:lang w:val="en-US" w:eastAsia="zh-CN" w:bidi="ar-SA"/>
              </w:rPr>
              <w:t>表20     《环境空气质量标准》（GB3095-2012）二级标准</w:t>
            </w:r>
          </w:p>
          <w:tbl>
            <w:tblPr>
              <w:tblStyle w:val="28"/>
              <w:tblW w:w="82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77"/>
              <w:gridCol w:w="2490"/>
              <w:gridCol w:w="2231"/>
              <w:gridCol w:w="12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677"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污染物项目</w:t>
                  </w:r>
                </w:p>
              </w:tc>
              <w:tc>
                <w:tcPr>
                  <w:tcW w:w="2490" w:type="dxa"/>
                  <w:noWrap w:val="0"/>
                  <w:vAlign w:val="center"/>
                </w:tcPr>
                <w:p>
                  <w:pPr>
                    <w:adjustRightInd w:val="0"/>
                    <w:snapToGrid w:val="0"/>
                    <w:ind w:firstLine="422" w:firstLineChars="200"/>
                    <w:jc w:val="both"/>
                    <w:rPr>
                      <w:rFonts w:hint="default" w:ascii="Times New Roman" w:hAnsi="Times New Roman" w:cs="Times New Roman"/>
                      <w:b/>
                      <w:bCs/>
                      <w:color w:val="auto"/>
                      <w:szCs w:val="21"/>
                    </w:rPr>
                  </w:pPr>
                  <w:r>
                    <w:rPr>
                      <w:rFonts w:hint="default" w:ascii="Times New Roman" w:hAnsi="Times New Roman" w:cs="Times New Roman"/>
                      <w:b/>
                      <w:bCs/>
                      <w:color w:val="auto"/>
                      <w:szCs w:val="21"/>
                    </w:rPr>
                    <w:t>平均时间</w:t>
                  </w:r>
                </w:p>
              </w:tc>
              <w:tc>
                <w:tcPr>
                  <w:tcW w:w="2231" w:type="dxa"/>
                  <w:noWrap w:val="0"/>
                  <w:vAlign w:val="center"/>
                </w:tcPr>
                <w:p>
                  <w:pPr>
                    <w:adjustRightInd w:val="0"/>
                    <w:snapToGrid w:val="0"/>
                    <w:ind w:firstLine="422" w:firstLineChars="200"/>
                    <w:jc w:val="both"/>
                    <w:rPr>
                      <w:rFonts w:hint="default" w:ascii="Times New Roman" w:hAnsi="Times New Roman" w:cs="Times New Roman"/>
                      <w:b/>
                      <w:bCs/>
                      <w:color w:val="auto"/>
                      <w:szCs w:val="21"/>
                    </w:rPr>
                  </w:pPr>
                  <w:r>
                    <w:rPr>
                      <w:rFonts w:hint="default" w:ascii="Times New Roman" w:hAnsi="Times New Roman" w:cs="Times New Roman"/>
                      <w:b/>
                      <w:bCs/>
                      <w:color w:val="auto"/>
                      <w:szCs w:val="21"/>
                    </w:rPr>
                    <w:t>二级浓度限值</w:t>
                  </w:r>
                </w:p>
              </w:tc>
              <w:tc>
                <w:tcPr>
                  <w:tcW w:w="1201" w:type="dxa"/>
                  <w:noWrap w:val="0"/>
                  <w:vAlign w:val="center"/>
                </w:tcPr>
                <w:p>
                  <w:pPr>
                    <w:adjustRightInd w:val="0"/>
                    <w:snapToGrid w:val="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677" w:type="dxa"/>
                  <w:vMerge w:val="restart"/>
                  <w:noWrap w:val="0"/>
                  <w:vAlign w:val="center"/>
                </w:tcPr>
                <w:p>
                  <w:pPr>
                    <w:adjustRightInd w:val="0"/>
                    <w:snapToGri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01"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μg/m</w:t>
                  </w:r>
                  <w:r>
                    <w:rPr>
                      <w:rFonts w:hint="default" w:ascii="Times New Roman" w:hAnsi="Times New Roman" w:cs="Times New Roman"/>
                      <w:color w:val="auto"/>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77" w:type="dxa"/>
                  <w:vMerge w:val="continue"/>
                  <w:noWrap w:val="0"/>
                  <w:vAlign w:val="center"/>
                </w:tcPr>
                <w:p>
                  <w:pPr>
                    <w:adjustRightInd w:val="0"/>
                    <w:snapToGrid w:val="0"/>
                    <w:spacing w:line="240" w:lineRule="exact"/>
                    <w:jc w:val="center"/>
                    <w:rPr>
                      <w:rFonts w:hint="default" w:ascii="Times New Roman" w:hAnsi="Times New Roman" w:cs="Times New Roman"/>
                      <w:color w:val="auto"/>
                      <w:szCs w:val="21"/>
                    </w:rPr>
                  </w:pP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01" w:type="dxa"/>
                  <w:vMerge w:val="continue"/>
                  <w:noWrap w:val="0"/>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677" w:type="dxa"/>
                  <w:vMerge w:val="restart"/>
                  <w:noWrap w:val="0"/>
                  <w:vAlign w:val="center"/>
                </w:tcPr>
                <w:p>
                  <w:pPr>
                    <w:adjustRightInd w:val="0"/>
                    <w:snapToGri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01" w:type="dxa"/>
                  <w:vMerge w:val="continue"/>
                  <w:noWrap w:val="0"/>
                  <w:vAlign w:val="center"/>
                </w:tcPr>
                <w:p>
                  <w:pPr>
                    <w:adjustRightInd w:val="0"/>
                    <w:snapToGrid w:val="0"/>
                    <w:ind w:firstLine="420" w:firstLineChars="20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77" w:type="dxa"/>
                  <w:vMerge w:val="continue"/>
                  <w:noWrap w:val="0"/>
                  <w:vAlign w:val="center"/>
                </w:tcPr>
                <w:p>
                  <w:pPr>
                    <w:adjustRightInd w:val="0"/>
                    <w:snapToGrid w:val="0"/>
                    <w:spacing w:line="240" w:lineRule="exact"/>
                    <w:jc w:val="center"/>
                    <w:rPr>
                      <w:rFonts w:hint="default" w:ascii="Times New Roman" w:hAnsi="Times New Roman" w:cs="Times New Roman"/>
                      <w:color w:val="auto"/>
                      <w:szCs w:val="21"/>
                    </w:rPr>
                  </w:pP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75</w:t>
                  </w:r>
                </w:p>
              </w:tc>
              <w:tc>
                <w:tcPr>
                  <w:tcW w:w="1201" w:type="dxa"/>
                  <w:vMerge w:val="continue"/>
                  <w:noWrap w:val="0"/>
                  <w:vAlign w:val="center"/>
                </w:tcPr>
                <w:p>
                  <w:pPr>
                    <w:adjustRightInd w:val="0"/>
                    <w:snapToGrid w:val="0"/>
                    <w:ind w:firstLine="420" w:firstLineChars="20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677" w:type="dxa"/>
                  <w:vMerge w:val="restart"/>
                  <w:noWrap w:val="0"/>
                  <w:vAlign w:val="center"/>
                </w:tcPr>
                <w:p>
                  <w:pPr>
                    <w:adjustRightInd w:val="0"/>
                    <w:snapToGri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01" w:type="dxa"/>
                  <w:vMerge w:val="continue"/>
                  <w:noWrap w:val="0"/>
                  <w:vAlign w:val="center"/>
                </w:tcPr>
                <w:p>
                  <w:pPr>
                    <w:adjustRightInd w:val="0"/>
                    <w:snapToGrid w:val="0"/>
                    <w:ind w:firstLine="420" w:firstLineChars="20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77" w:type="dxa"/>
                  <w:vMerge w:val="continue"/>
                  <w:noWrap w:val="0"/>
                  <w:vAlign w:val="center"/>
                </w:tcPr>
                <w:p>
                  <w:pPr>
                    <w:adjustRightInd w:val="0"/>
                    <w:snapToGrid w:val="0"/>
                    <w:spacing w:line="240" w:lineRule="exact"/>
                    <w:jc w:val="center"/>
                    <w:rPr>
                      <w:rFonts w:hint="default" w:ascii="Times New Roman" w:hAnsi="Times New Roman" w:cs="Times New Roman"/>
                      <w:color w:val="auto"/>
                      <w:szCs w:val="21"/>
                    </w:rPr>
                  </w:pP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01" w:type="dxa"/>
                  <w:vMerge w:val="continue"/>
                  <w:noWrap w:val="0"/>
                  <w:vAlign w:val="center"/>
                </w:tcPr>
                <w:p>
                  <w:pPr>
                    <w:adjustRightInd w:val="0"/>
                    <w:snapToGrid w:val="0"/>
                    <w:ind w:firstLine="420" w:firstLineChars="20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77" w:type="dxa"/>
                  <w:vMerge w:val="continue"/>
                  <w:noWrap w:val="0"/>
                  <w:vAlign w:val="center"/>
                </w:tcPr>
                <w:p>
                  <w:pPr>
                    <w:adjustRightInd w:val="0"/>
                    <w:snapToGrid w:val="0"/>
                    <w:spacing w:line="240" w:lineRule="exact"/>
                    <w:jc w:val="center"/>
                    <w:rPr>
                      <w:rFonts w:hint="default" w:ascii="Times New Roman" w:hAnsi="Times New Roman" w:cs="Times New Roman"/>
                      <w:color w:val="auto"/>
                      <w:szCs w:val="21"/>
                    </w:rPr>
                  </w:pP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500</w:t>
                  </w:r>
                </w:p>
              </w:tc>
              <w:tc>
                <w:tcPr>
                  <w:tcW w:w="1201" w:type="dxa"/>
                  <w:vMerge w:val="continue"/>
                  <w:noWrap w:val="0"/>
                  <w:vAlign w:val="center"/>
                </w:tcPr>
                <w:p>
                  <w:pPr>
                    <w:adjustRightInd w:val="0"/>
                    <w:snapToGrid w:val="0"/>
                    <w:ind w:firstLine="420" w:firstLineChars="20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677" w:type="dxa"/>
                  <w:vMerge w:val="restart"/>
                  <w:noWrap w:val="0"/>
                  <w:vAlign w:val="center"/>
                </w:tcPr>
                <w:p>
                  <w:pPr>
                    <w:adjustRightInd w:val="0"/>
                    <w:snapToGri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01" w:type="dxa"/>
                  <w:vMerge w:val="continue"/>
                  <w:noWrap w:val="0"/>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77" w:type="dxa"/>
                  <w:vMerge w:val="continue"/>
                  <w:noWrap w:val="0"/>
                  <w:vAlign w:val="center"/>
                </w:tcPr>
                <w:p>
                  <w:pPr>
                    <w:adjustRightInd w:val="0"/>
                    <w:snapToGrid w:val="0"/>
                    <w:spacing w:line="240" w:lineRule="exact"/>
                    <w:jc w:val="center"/>
                    <w:rPr>
                      <w:rFonts w:hint="default" w:ascii="Times New Roman" w:hAnsi="Times New Roman" w:cs="Times New Roman"/>
                      <w:color w:val="auto"/>
                      <w:szCs w:val="21"/>
                    </w:rPr>
                  </w:pP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01" w:type="dxa"/>
                  <w:vMerge w:val="continue"/>
                  <w:noWrap w:val="0"/>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77" w:type="dxa"/>
                  <w:vMerge w:val="continue"/>
                  <w:noWrap w:val="0"/>
                  <w:vAlign w:val="center"/>
                </w:tcPr>
                <w:p>
                  <w:pPr>
                    <w:adjustRightInd w:val="0"/>
                    <w:snapToGrid w:val="0"/>
                    <w:spacing w:line="240" w:lineRule="exact"/>
                    <w:jc w:val="center"/>
                    <w:rPr>
                      <w:rFonts w:hint="default" w:ascii="Times New Roman" w:hAnsi="Times New Roman" w:cs="Times New Roman"/>
                      <w:color w:val="auto"/>
                      <w:szCs w:val="21"/>
                    </w:rPr>
                  </w:pP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w:t>
                  </w:r>
                </w:p>
              </w:tc>
              <w:tc>
                <w:tcPr>
                  <w:tcW w:w="1201" w:type="dxa"/>
                  <w:vMerge w:val="continue"/>
                  <w:noWrap w:val="0"/>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677" w:type="dxa"/>
                  <w:vMerge w:val="restart"/>
                  <w:noWrap w:val="0"/>
                  <w:vAlign w:val="center"/>
                </w:tcPr>
                <w:p>
                  <w:pPr>
                    <w:adjustRightInd w:val="0"/>
                    <w:snapToGri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201"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mg/m</w:t>
                  </w:r>
                  <w:r>
                    <w:rPr>
                      <w:rFonts w:hint="default" w:ascii="Times New Roman" w:hAnsi="Times New Roman" w:cs="Times New Roman"/>
                      <w:color w:val="auto"/>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continue"/>
                  <w:noWrap w:val="0"/>
                  <w:vAlign w:val="center"/>
                </w:tcPr>
                <w:p>
                  <w:pPr>
                    <w:adjustRightInd w:val="0"/>
                    <w:snapToGrid w:val="0"/>
                    <w:jc w:val="center"/>
                    <w:rPr>
                      <w:rFonts w:hint="default" w:ascii="Times New Roman" w:hAnsi="Times New Roman" w:cs="Times New Roman"/>
                      <w:color w:val="auto"/>
                      <w:szCs w:val="21"/>
                    </w:rPr>
                  </w:pPr>
                </w:p>
              </w:tc>
              <w:tc>
                <w:tcPr>
                  <w:tcW w:w="1677" w:type="dxa"/>
                  <w:vMerge w:val="continue"/>
                  <w:noWrap w:val="0"/>
                  <w:vAlign w:val="center"/>
                </w:tcPr>
                <w:p>
                  <w:pPr>
                    <w:adjustRightInd w:val="0"/>
                    <w:snapToGrid w:val="0"/>
                    <w:spacing w:line="240" w:lineRule="exact"/>
                    <w:jc w:val="center"/>
                    <w:rPr>
                      <w:rFonts w:hint="default" w:ascii="Times New Roman" w:hAnsi="Times New Roman" w:cs="Times New Roman"/>
                      <w:color w:val="auto"/>
                      <w:szCs w:val="21"/>
                    </w:rPr>
                  </w:pP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1201" w:type="dxa"/>
                  <w:vMerge w:val="continue"/>
                  <w:noWrap w:val="0"/>
                  <w:vAlign w:val="center"/>
                </w:tcPr>
                <w:p>
                  <w:pPr>
                    <w:adjustRightInd w:val="0"/>
                    <w:snapToGrid w:val="0"/>
                    <w:jc w:val="center"/>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677" w:type="dxa"/>
                  <w:vMerge w:val="restart"/>
                  <w:noWrap w:val="0"/>
                  <w:vAlign w:val="center"/>
                </w:tcPr>
                <w:p>
                  <w:pPr>
                    <w:adjustRightInd w:val="0"/>
                    <w:snapToGri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日最大8小时平均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01" w:type="dxa"/>
                  <w:vMerge w:val="restart"/>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μg/m</w:t>
                  </w:r>
                  <w:r>
                    <w:rPr>
                      <w:rFonts w:hint="default" w:ascii="Times New Roman" w:hAnsi="Times New Roman" w:cs="Times New Roman"/>
                      <w:color w:val="auto"/>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8" w:type="dxa"/>
                  <w:vMerge w:val="continue"/>
                  <w:noWrap w:val="0"/>
                  <w:vAlign w:val="center"/>
                </w:tcPr>
                <w:p>
                  <w:pPr>
                    <w:adjustRightInd w:val="0"/>
                    <w:snapToGrid w:val="0"/>
                    <w:jc w:val="both"/>
                    <w:rPr>
                      <w:rFonts w:hint="default" w:ascii="Times New Roman" w:hAnsi="Times New Roman" w:cs="Times New Roman"/>
                      <w:color w:val="auto"/>
                      <w:szCs w:val="21"/>
                    </w:rPr>
                  </w:pPr>
                </w:p>
              </w:tc>
              <w:tc>
                <w:tcPr>
                  <w:tcW w:w="1677" w:type="dxa"/>
                  <w:vMerge w:val="continue"/>
                  <w:noWrap w:val="0"/>
                  <w:vAlign w:val="center"/>
                </w:tcPr>
                <w:p>
                  <w:pPr>
                    <w:adjustRightInd w:val="0"/>
                    <w:snapToGrid w:val="0"/>
                    <w:spacing w:line="240" w:lineRule="exact"/>
                    <w:jc w:val="both"/>
                    <w:rPr>
                      <w:rFonts w:hint="default" w:ascii="Times New Roman" w:hAnsi="Times New Roman" w:cs="Times New Roman"/>
                      <w:color w:val="auto"/>
                      <w:szCs w:val="21"/>
                    </w:rPr>
                  </w:pPr>
                </w:p>
              </w:tc>
              <w:tc>
                <w:tcPr>
                  <w:tcW w:w="2490"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1小时平均</w:t>
                  </w:r>
                </w:p>
              </w:tc>
              <w:tc>
                <w:tcPr>
                  <w:tcW w:w="223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200</w:t>
                  </w:r>
                </w:p>
              </w:tc>
              <w:tc>
                <w:tcPr>
                  <w:tcW w:w="1201" w:type="dxa"/>
                  <w:vMerge w:val="continue"/>
                  <w:noWrap w:val="0"/>
                  <w:vAlign w:val="center"/>
                </w:tcPr>
                <w:p>
                  <w:pPr>
                    <w:adjustRightInd w:val="0"/>
                    <w:snapToGrid w:val="0"/>
                    <w:jc w:val="both"/>
                    <w:rPr>
                      <w:rFonts w:hint="default" w:ascii="Times New Roman" w:hAnsi="Times New Roman" w:cs="Times New Roman"/>
                      <w:color w:val="auto"/>
                      <w:szCs w:val="21"/>
                    </w:rPr>
                  </w:pPr>
                </w:p>
              </w:tc>
            </w:tr>
          </w:tbl>
          <w:p>
            <w:pPr>
              <w:pStyle w:val="49"/>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default" w:ascii="Times New Roman" w:hAnsi="Times New Roman" w:cs="Times New Roman"/>
                <w:b/>
                <w:bCs/>
                <w:color w:val="auto"/>
                <w:lang w:val="en-US" w:eastAsia="zh-CN"/>
              </w:rPr>
            </w:pPr>
            <w:r>
              <w:rPr>
                <w:rFonts w:hint="eastAsia" w:cs="Times New Roman"/>
                <w:b/>
                <w:bCs/>
                <w:color w:val="auto"/>
                <w:highlight w:val="none"/>
                <w:lang w:val="en-US" w:eastAsia="zh-CN"/>
              </w:rPr>
              <w:t>（2）</w:t>
            </w:r>
            <w:r>
              <w:rPr>
                <w:rFonts w:hint="default" w:ascii="Times New Roman" w:hAnsi="Times New Roman" w:cs="Times New Roman"/>
                <w:b/>
                <w:bCs/>
                <w:color w:val="auto"/>
                <w:lang w:val="en-US" w:eastAsia="zh-CN"/>
              </w:rPr>
              <w:t>声环境</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本工程声环境执行《声环境质量标准》（GB3096-2008）</w:t>
            </w:r>
            <w:r>
              <w:rPr>
                <w:rFonts w:hint="eastAsia" w:cs="Times New Roman"/>
                <w:color w:val="auto"/>
                <w:lang w:val="en-US" w:eastAsia="zh-CN"/>
              </w:rPr>
              <w:t>2</w:t>
            </w:r>
            <w:r>
              <w:rPr>
                <w:rFonts w:hint="default" w:ascii="Times New Roman" w:hAnsi="Times New Roman" w:cs="Times New Roman"/>
                <w:color w:val="auto"/>
                <w:lang w:val="en-US" w:eastAsia="zh-CN"/>
              </w:rPr>
              <w:t>类</w:t>
            </w:r>
            <w:r>
              <w:rPr>
                <w:rFonts w:hint="default" w:ascii="Times New Roman" w:hAnsi="Times New Roman" w:cs="Times New Roman"/>
                <w:color w:val="auto"/>
                <w:lang w:eastAsia="zh-CN"/>
              </w:rPr>
              <w:t>标准。</w:t>
            </w:r>
            <w:r>
              <w:rPr>
                <w:rFonts w:hint="default" w:ascii="Times New Roman" w:hAnsi="Times New Roman" w:cs="Times New Roman"/>
                <w:color w:val="auto"/>
                <w:lang w:val="en-US" w:eastAsia="zh-CN"/>
              </w:rPr>
              <w:t>标准要求具体见表</w:t>
            </w:r>
            <w:r>
              <w:rPr>
                <w:rFonts w:hint="eastAsia" w:cs="Times New Roman"/>
                <w:color w:val="auto"/>
                <w:lang w:val="en-US" w:eastAsia="zh-CN"/>
              </w:rPr>
              <w:t>21</w:t>
            </w:r>
            <w:r>
              <w:rPr>
                <w:rFonts w:hint="default" w:ascii="Times New Roman" w:hAnsi="Times New Roman" w:cs="Times New Roman"/>
                <w:color w:val="auto"/>
                <w:lang w:val="en-US" w:eastAsia="zh-CN"/>
              </w:rPr>
              <w:t>。</w:t>
            </w:r>
          </w:p>
          <w:p>
            <w:pPr>
              <w:pStyle w:val="49"/>
              <w:keepNext w:val="0"/>
              <w:keepLines w:val="0"/>
              <w:pageBreakBefore w:val="0"/>
              <w:widowControl w:val="0"/>
              <w:kinsoku/>
              <w:wordWrap/>
              <w:overflowPunct w:val="0"/>
              <w:topLinePunct w:val="0"/>
              <w:autoSpaceDE/>
              <w:autoSpaceDN/>
              <w:bidi w:val="0"/>
              <w:adjustRightInd w:val="0"/>
              <w:snapToGrid w:val="0"/>
              <w:spacing w:line="24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b w:val="0"/>
                <w:bCs/>
                <w:color w:val="auto"/>
                <w:sz w:val="24"/>
                <w:szCs w:val="24"/>
                <w:lang w:val="en-US" w:eastAsia="zh-CN"/>
              </w:rPr>
              <w:t>表21        《声环境质量标准》（GB3096-2008）</w:t>
            </w:r>
          </w:p>
          <w:tbl>
            <w:tblPr>
              <w:tblStyle w:val="2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2071"/>
              <w:gridCol w:w="2371"/>
              <w:gridCol w:w="2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87" w:type="dxa"/>
                  <w:vAlign w:val="center"/>
                </w:tcPr>
                <w:p>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类别</w:t>
                  </w:r>
                </w:p>
              </w:tc>
              <w:tc>
                <w:tcPr>
                  <w:tcW w:w="2071" w:type="dxa"/>
                  <w:vAlign w:val="center"/>
                </w:tcPr>
                <w:p>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昼间</w:t>
                  </w:r>
                </w:p>
              </w:tc>
              <w:tc>
                <w:tcPr>
                  <w:tcW w:w="2371" w:type="dxa"/>
                  <w:vAlign w:val="center"/>
                </w:tcPr>
                <w:p>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夜间</w:t>
                  </w:r>
                </w:p>
              </w:tc>
              <w:tc>
                <w:tcPr>
                  <w:tcW w:w="2275" w:type="dxa"/>
                  <w:vAlign w:val="center"/>
                </w:tcPr>
                <w:p>
                  <w:pPr>
                    <w:spacing w:line="27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等效声级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87" w:type="dxa"/>
                  <w:vAlign w:val="center"/>
                </w:tcPr>
                <w:p>
                  <w:pPr>
                    <w:spacing w:line="270" w:lineRule="exact"/>
                    <w:jc w:val="center"/>
                    <w:rPr>
                      <w:rFonts w:hint="default" w:ascii="Times New Roman" w:hAnsi="Times New Roman" w:eastAsia="宋体" w:cs="Times New Roman"/>
                      <w:b/>
                      <w:bCs/>
                      <w:color w:val="auto"/>
                      <w:highlight w:val="none"/>
                      <w:lang w:eastAsia="zh-CN"/>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类</w:t>
                  </w:r>
                </w:p>
              </w:tc>
              <w:tc>
                <w:tcPr>
                  <w:tcW w:w="2071" w:type="dxa"/>
                  <w:vAlign w:val="center"/>
                </w:tcPr>
                <w:p>
                  <w:pPr>
                    <w:spacing w:line="27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60</w:t>
                  </w:r>
                </w:p>
              </w:tc>
              <w:tc>
                <w:tcPr>
                  <w:tcW w:w="2371" w:type="dxa"/>
                  <w:vAlign w:val="center"/>
                </w:tcPr>
                <w:p>
                  <w:pPr>
                    <w:spacing w:line="270" w:lineRule="exact"/>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50</w:t>
                  </w:r>
                </w:p>
              </w:tc>
              <w:tc>
                <w:tcPr>
                  <w:tcW w:w="2275" w:type="dxa"/>
                  <w:vAlign w:val="center"/>
                </w:tcPr>
                <w:p>
                  <w:pPr>
                    <w:spacing w:line="27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dB(A)</w:t>
                  </w:r>
                </w:p>
              </w:tc>
            </w:tr>
          </w:tbl>
          <w:p>
            <w:pPr>
              <w:pStyle w:val="48"/>
              <w:keepNext w:val="0"/>
              <w:keepLines w:val="0"/>
              <w:pageBreakBefore w:val="0"/>
              <w:widowControl w:val="0"/>
              <w:kinsoku/>
              <w:wordWrap/>
              <w:topLinePunct w:val="0"/>
              <w:autoSpaceDE/>
              <w:autoSpaceDN/>
              <w:bidi w:val="0"/>
              <w:adjustRightInd w:val="0"/>
              <w:snapToGrid w:val="0"/>
              <w:spacing w:before="0" w:beforeLines="0" w:after="0" w:afterLines="0" w:line="360" w:lineRule="auto"/>
              <w:ind w:firstLine="482" w:firstLineChars="200"/>
              <w:rPr>
                <w:rFonts w:hint="default" w:ascii="Times New Roman" w:hAnsi="Times New Roman" w:eastAsia="仿宋_GB2312" w:cs="Times New Roman"/>
                <w:b/>
                <w:bCs/>
                <w:color w:val="auto"/>
                <w:kern w:val="16"/>
                <w:sz w:val="24"/>
                <w:szCs w:val="24"/>
                <w:highlight w:val="none"/>
                <w:lang w:val="en-US" w:eastAsia="zh-CN" w:bidi="ar-SA"/>
              </w:rPr>
            </w:pPr>
            <w:r>
              <w:rPr>
                <w:rFonts w:hint="default" w:ascii="Times New Roman" w:hAnsi="Times New Roman" w:eastAsia="仿宋_GB2312" w:cs="Times New Roman"/>
                <w:b/>
                <w:bCs/>
                <w:color w:val="auto"/>
                <w:kern w:val="16"/>
                <w:sz w:val="24"/>
                <w:szCs w:val="24"/>
                <w:highlight w:val="none"/>
                <w:lang w:val="en-US" w:eastAsia="zh-CN" w:bidi="ar-SA"/>
              </w:rPr>
              <w:t>2.污染物排放控制标准</w:t>
            </w:r>
          </w:p>
          <w:p>
            <w:pPr>
              <w:pStyle w:val="49"/>
              <w:keepNext w:val="0"/>
              <w:keepLines w:val="0"/>
              <w:pageBreakBefore w:val="0"/>
              <w:widowControl w:val="0"/>
              <w:kinsoku/>
              <w:wordWrap/>
              <w:topLinePunct w:val="0"/>
              <w:autoSpaceDE/>
              <w:autoSpaceDN/>
              <w:bidi w:val="0"/>
              <w:adjustRightInd w:val="0"/>
              <w:snapToGrid w:val="0"/>
              <w:spacing w:line="360" w:lineRule="auto"/>
              <w:ind w:left="0" w:leftChars="0" w:firstLine="482" w:firstLineChars="20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（1）</w:t>
            </w:r>
            <w:r>
              <w:rPr>
                <w:rFonts w:hint="default" w:ascii="Times New Roman" w:hAnsi="Times New Roman" w:cs="Times New Roman"/>
                <w:b/>
                <w:bCs/>
                <w:color w:val="auto"/>
                <w:highlight w:val="none"/>
                <w:lang w:val="en-US" w:eastAsia="zh-CN"/>
              </w:rPr>
              <w:t>废气</w:t>
            </w:r>
          </w:p>
          <w:p>
            <w:pPr>
              <w:pStyle w:val="49"/>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rPr>
                <w:rFonts w:hint="default" w:ascii="Times New Roman" w:hAnsi="Times New Roman" w:cs="Times New Roman"/>
                <w:color w:val="auto"/>
                <w:lang w:val="en-US" w:eastAsia="zh-CN"/>
              </w:rPr>
            </w:pPr>
            <w:r>
              <w:rPr>
                <w:rFonts w:hint="default" w:ascii="Times New Roman" w:hAnsi="Times New Roman" w:cs="Times New Roman"/>
                <w:b w:val="0"/>
                <w:bCs w:val="0"/>
                <w:color w:val="auto"/>
                <w:lang w:eastAsia="zh-CN"/>
              </w:rPr>
              <w:t>本工程施工期</w:t>
            </w:r>
            <w:r>
              <w:rPr>
                <w:rFonts w:hint="eastAsia" w:cs="Times New Roman"/>
                <w:b w:val="0"/>
                <w:bCs w:val="0"/>
                <w:color w:val="auto"/>
                <w:lang w:eastAsia="zh-CN"/>
              </w:rPr>
              <w:t>扬尘</w:t>
            </w:r>
            <w:r>
              <w:rPr>
                <w:rFonts w:hint="default" w:ascii="Times New Roman" w:hAnsi="Times New Roman" w:cs="Times New Roman"/>
                <w:b w:val="0"/>
                <w:bCs w:val="0"/>
                <w:color w:val="auto"/>
              </w:rPr>
              <w:t>排放</w:t>
            </w:r>
            <w:r>
              <w:rPr>
                <w:rFonts w:hint="default" w:ascii="Times New Roman" w:hAnsi="Times New Roman" w:cs="Times New Roman"/>
                <w:color w:val="auto"/>
              </w:rPr>
              <w:t>执行《大气污染物综合排放标准》（GB16297-1996）表2中无组织排放限值。</w:t>
            </w:r>
            <w:r>
              <w:rPr>
                <w:rFonts w:hint="default" w:ascii="Times New Roman" w:hAnsi="Times New Roman" w:cs="Times New Roman"/>
                <w:color w:val="auto"/>
                <w:lang w:val="en-US" w:eastAsia="zh-CN"/>
              </w:rPr>
              <w:t>标准要求具体见表</w:t>
            </w:r>
            <w:r>
              <w:rPr>
                <w:rFonts w:hint="eastAsia" w:cs="Times New Roman"/>
                <w:color w:val="auto"/>
                <w:lang w:val="en-US" w:eastAsia="zh-CN"/>
              </w:rPr>
              <w:t>22</w:t>
            </w:r>
            <w:r>
              <w:rPr>
                <w:rFonts w:hint="default" w:ascii="Times New Roman" w:hAnsi="Times New Roman" w:cs="Times New Roman"/>
                <w:color w:val="auto"/>
                <w:lang w:val="en-US" w:eastAsia="zh-CN"/>
              </w:rPr>
              <w:t>。</w:t>
            </w:r>
          </w:p>
          <w:p>
            <w:pPr>
              <w:pStyle w:val="49"/>
              <w:bidi w:val="0"/>
              <w:spacing w:line="360" w:lineRule="auto"/>
              <w:ind w:left="0" w:leftChars="0" w:firstLine="480" w:firstLineChars="200"/>
              <w:rPr>
                <w:rFonts w:hint="default" w:ascii="Times New Roman" w:hAnsi="Times New Roman" w:cs="Times New Roman"/>
                <w:color w:val="auto"/>
                <w:lang w:val="en-US" w:eastAsia="zh-CN"/>
              </w:rPr>
            </w:pPr>
          </w:p>
          <w:p>
            <w:pPr>
              <w:pStyle w:val="49"/>
              <w:bidi w:val="0"/>
              <w:spacing w:line="360" w:lineRule="auto"/>
              <w:ind w:left="0" w:leftChars="0" w:firstLine="480" w:firstLineChars="200"/>
              <w:rPr>
                <w:rFonts w:hint="default" w:ascii="Times New Roman" w:hAnsi="Times New Roman" w:cs="Times New Roman"/>
                <w:color w:val="auto"/>
                <w:lang w:val="en-US" w:eastAsia="zh-CN"/>
              </w:rPr>
            </w:pPr>
          </w:p>
          <w:p>
            <w:pPr>
              <w:pStyle w:val="49"/>
              <w:bidi w:val="0"/>
              <w:spacing w:line="240" w:lineRule="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表22               《大气污染物综合排放标准》</w:t>
            </w:r>
          </w:p>
          <w:tbl>
            <w:tblPr>
              <w:tblStyle w:val="2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2"/>
              <w:gridCol w:w="3959"/>
              <w:gridCol w:w="25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999" w:type="dxa"/>
                  <w:vMerge w:val="restart"/>
                  <w:noWrap w:val="0"/>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污染物</w:t>
                  </w:r>
                </w:p>
              </w:tc>
              <w:tc>
                <w:tcPr>
                  <w:tcW w:w="6626" w:type="dxa"/>
                  <w:gridSpan w:val="2"/>
                  <w:noWrap w:val="0"/>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999" w:type="dxa"/>
                  <w:vMerge w:val="continue"/>
                  <w:noWrap w:val="0"/>
                  <w:vAlign w:val="center"/>
                </w:tcPr>
                <w:p>
                  <w:pPr>
                    <w:spacing w:line="280" w:lineRule="exact"/>
                    <w:jc w:val="center"/>
                    <w:rPr>
                      <w:rFonts w:hint="default" w:ascii="Times New Roman" w:hAnsi="Times New Roman" w:cs="Times New Roman"/>
                      <w:b/>
                      <w:color w:val="auto"/>
                      <w:szCs w:val="21"/>
                    </w:rPr>
                  </w:pPr>
                </w:p>
              </w:tc>
              <w:tc>
                <w:tcPr>
                  <w:tcW w:w="4017" w:type="dxa"/>
                  <w:noWrap w:val="0"/>
                  <w:vAlign w:val="center"/>
                </w:tcPr>
                <w:p>
                  <w:pPr>
                    <w:pStyle w:val="63"/>
                    <w:snapToGrid w:val="0"/>
                    <w:spacing w:before="0" w:line="280" w:lineRule="exact"/>
                    <w:rPr>
                      <w:rFonts w:hint="default" w:ascii="Times New Roman" w:hAnsi="Times New Roman" w:cs="Times New Roman"/>
                      <w:b w:val="0"/>
                      <w:bCs w:val="0"/>
                      <w:color w:val="auto"/>
                      <w:kern w:val="2"/>
                      <w:sz w:val="21"/>
                      <w:szCs w:val="21"/>
                    </w:rPr>
                  </w:pPr>
                  <w:r>
                    <w:rPr>
                      <w:rFonts w:hint="default" w:ascii="Times New Roman" w:hAnsi="Times New Roman" w:cs="Times New Roman"/>
                      <w:b w:val="0"/>
                      <w:bCs w:val="0"/>
                      <w:color w:val="auto"/>
                      <w:kern w:val="2"/>
                      <w:sz w:val="21"/>
                      <w:szCs w:val="21"/>
                    </w:rPr>
                    <w:t>监控点</w:t>
                  </w:r>
                </w:p>
              </w:tc>
              <w:tc>
                <w:tcPr>
                  <w:tcW w:w="2609" w:type="dxa"/>
                  <w:noWrap w:val="0"/>
                  <w:vAlign w:val="center"/>
                </w:tcPr>
                <w:p>
                  <w:pPr>
                    <w:pStyle w:val="63"/>
                    <w:snapToGrid w:val="0"/>
                    <w:spacing w:before="0" w:line="280" w:lineRule="exact"/>
                    <w:rPr>
                      <w:rFonts w:hint="default" w:ascii="Times New Roman" w:hAnsi="Times New Roman" w:cs="Times New Roman"/>
                      <w:b w:val="0"/>
                      <w:bCs w:val="0"/>
                      <w:color w:val="auto"/>
                      <w:kern w:val="2"/>
                      <w:sz w:val="21"/>
                      <w:szCs w:val="21"/>
                    </w:rPr>
                  </w:pPr>
                  <w:r>
                    <w:rPr>
                      <w:rFonts w:hint="default" w:ascii="Times New Roman" w:hAnsi="Times New Roman" w:cs="Times New Roman"/>
                      <w:b w:val="0"/>
                      <w:bCs w:val="0"/>
                      <w:color w:val="auto"/>
                      <w:kern w:val="2"/>
                      <w:sz w:val="21"/>
                      <w:szCs w:val="21"/>
                    </w:rPr>
                    <w:t>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999" w:type="dxa"/>
                  <w:noWrap w:val="0"/>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17" w:type="dxa"/>
                  <w:noWrap w:val="0"/>
                  <w:vAlign w:val="center"/>
                </w:tcPr>
                <w:p>
                  <w:pPr>
                    <w:spacing w:line="280" w:lineRule="exact"/>
                    <w:jc w:val="center"/>
                    <w:rPr>
                      <w:rFonts w:hint="default" w:ascii="Times New Roman" w:hAnsi="Times New Roman" w:cs="Times New Roman"/>
                      <w:b w:val="0"/>
                      <w:bCs w:val="0"/>
                      <w:color w:val="auto"/>
                      <w:spacing w:val="-10"/>
                      <w:szCs w:val="21"/>
                    </w:rPr>
                  </w:pPr>
                  <w:r>
                    <w:rPr>
                      <w:rFonts w:hint="default" w:ascii="Times New Roman" w:hAnsi="Times New Roman" w:cs="Times New Roman"/>
                      <w:b w:val="0"/>
                      <w:bCs w:val="0"/>
                      <w:color w:val="auto"/>
                      <w:szCs w:val="21"/>
                    </w:rPr>
                    <w:t>周界外浓度最高点</w:t>
                  </w:r>
                </w:p>
              </w:tc>
              <w:tc>
                <w:tcPr>
                  <w:tcW w:w="2609" w:type="dxa"/>
                  <w:noWrap w:val="0"/>
                  <w:vAlign w:val="center"/>
                </w:tcPr>
                <w:p>
                  <w:pPr>
                    <w:pStyle w:val="63"/>
                    <w:snapToGrid w:val="0"/>
                    <w:spacing w:before="0" w:line="280" w:lineRule="exact"/>
                    <w:rPr>
                      <w:rFonts w:hint="default" w:ascii="Times New Roman" w:hAnsi="Times New Roman" w:cs="Times New Roman"/>
                      <w:b w:val="0"/>
                      <w:bCs w:val="0"/>
                      <w:color w:val="auto"/>
                      <w:kern w:val="2"/>
                      <w:sz w:val="21"/>
                      <w:szCs w:val="21"/>
                    </w:rPr>
                  </w:pPr>
                  <w:r>
                    <w:rPr>
                      <w:rFonts w:hint="default" w:ascii="Times New Roman" w:hAnsi="Times New Roman" w:cs="Times New Roman"/>
                      <w:b w:val="0"/>
                      <w:bCs w:val="0"/>
                      <w:color w:val="auto"/>
                      <w:kern w:val="2"/>
                      <w:sz w:val="21"/>
                      <w:szCs w:val="21"/>
                    </w:rPr>
                    <w:t>1.0mg/m</w:t>
                  </w:r>
                  <w:r>
                    <w:rPr>
                      <w:rFonts w:hint="default" w:ascii="Times New Roman" w:hAnsi="Times New Roman" w:cs="Times New Roman"/>
                      <w:b w:val="0"/>
                      <w:bCs w:val="0"/>
                      <w:color w:val="auto"/>
                      <w:kern w:val="2"/>
                      <w:sz w:val="21"/>
                      <w:szCs w:val="21"/>
                      <w:vertAlign w:val="superscript"/>
                    </w:rPr>
                    <w:t>3</w:t>
                  </w:r>
                </w:p>
              </w:tc>
            </w:tr>
          </w:tbl>
          <w:p>
            <w:pPr>
              <w:pStyle w:val="49"/>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default" w:ascii="Times New Roman" w:hAnsi="Times New Roman" w:cs="Times New Roman"/>
                <w:b/>
                <w:bCs/>
                <w:color w:val="auto"/>
                <w:lang w:val="en-US" w:eastAsia="zh-CN"/>
              </w:rPr>
            </w:pPr>
            <w:r>
              <w:rPr>
                <w:rFonts w:hint="eastAsia" w:cs="Times New Roman"/>
                <w:b/>
                <w:bCs/>
                <w:color w:val="auto"/>
                <w:lang w:val="en-US" w:eastAsia="zh-CN"/>
              </w:rPr>
              <w:t>（2）</w:t>
            </w:r>
            <w:r>
              <w:rPr>
                <w:rFonts w:hint="default" w:ascii="Times New Roman" w:hAnsi="Times New Roman" w:cs="Times New Roman"/>
                <w:b/>
                <w:bCs/>
                <w:color w:val="auto"/>
                <w:lang w:val="en-US" w:eastAsia="zh-CN"/>
              </w:rPr>
              <w:t>噪声</w:t>
            </w:r>
          </w:p>
          <w:p>
            <w:pPr>
              <w:pStyle w:val="49"/>
              <w:bidi w:val="0"/>
              <w:spacing w:line="360" w:lineRule="auto"/>
              <w:ind w:left="0" w:leftChars="0" w:firstLine="480" w:firstLineChars="200"/>
              <w:rPr>
                <w:rFonts w:hint="default" w:ascii="Times New Roman" w:hAnsi="Times New Roman" w:cs="Times New Roman"/>
                <w:color w:val="auto"/>
                <w:lang w:val="en-US"/>
              </w:rPr>
            </w:pPr>
            <w:r>
              <w:rPr>
                <w:rFonts w:hint="default" w:ascii="Times New Roman" w:hAnsi="Times New Roman" w:cs="Times New Roman"/>
                <w:color w:val="auto"/>
                <w:lang w:eastAsia="zh-CN"/>
              </w:rPr>
              <w:t>本工程施工期</w:t>
            </w:r>
            <w:r>
              <w:rPr>
                <w:rFonts w:hint="default" w:ascii="Times New Roman" w:hAnsi="Times New Roman" w:cs="Times New Roman"/>
                <w:color w:val="auto"/>
              </w:rPr>
              <w:t>噪声排放执行《建筑施工场界环境噪声排放标准》（GB12523-2011）排放限值。</w:t>
            </w:r>
            <w:r>
              <w:rPr>
                <w:rFonts w:hint="default" w:ascii="Times New Roman" w:hAnsi="Times New Roman" w:cs="Times New Roman"/>
                <w:color w:val="auto"/>
                <w:lang w:val="en-US" w:eastAsia="zh-CN"/>
              </w:rPr>
              <w:t>标准要求具体见表</w:t>
            </w:r>
            <w:r>
              <w:rPr>
                <w:rFonts w:hint="eastAsia" w:cs="Times New Roman"/>
                <w:color w:val="auto"/>
                <w:lang w:val="en-US" w:eastAsia="zh-CN"/>
              </w:rPr>
              <w:t>23</w:t>
            </w:r>
            <w:r>
              <w:rPr>
                <w:rFonts w:hint="default" w:ascii="Times New Roman" w:hAnsi="Times New Roman" w:cs="Times New Roman"/>
                <w:color w:val="auto"/>
                <w:lang w:val="en-US" w:eastAsia="zh-CN"/>
              </w:rPr>
              <w:t>。</w:t>
            </w:r>
          </w:p>
          <w:p>
            <w:pPr>
              <w:pStyle w:val="49"/>
              <w:bidi w:val="0"/>
              <w:spacing w:line="240" w:lineRule="auto"/>
              <w:ind w:left="0" w:leftChars="0" w:firstLine="480" w:firstLineChars="200"/>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lang w:val="en-US" w:eastAsia="zh-CN"/>
              </w:rPr>
              <w:t>表</w:t>
            </w:r>
            <w:r>
              <w:rPr>
                <w:rFonts w:hint="eastAsia" w:eastAsia="黑体" w:cs="Times New Roman"/>
                <w:b w:val="0"/>
                <w:bCs/>
                <w:color w:val="auto"/>
                <w:sz w:val="24"/>
                <w:szCs w:val="24"/>
                <w:lang w:val="en-US" w:eastAsia="zh-CN"/>
              </w:rPr>
              <w:t>23</w:t>
            </w:r>
            <w:r>
              <w:rPr>
                <w:rFonts w:hint="default" w:ascii="Times New Roman" w:hAnsi="Times New Roman" w:eastAsia="黑体" w:cs="Times New Roman"/>
                <w:b w:val="0"/>
                <w:bCs/>
                <w:color w:val="auto"/>
                <w:sz w:val="24"/>
                <w:szCs w:val="24"/>
                <w:lang w:val="en-US" w:eastAsia="zh-CN"/>
              </w:rPr>
              <w:t xml:space="preserve">    </w:t>
            </w:r>
            <w:r>
              <w:rPr>
                <w:rFonts w:hint="eastAsia" w:eastAsia="黑体" w:cs="Times New Roman"/>
                <w:b w:val="0"/>
                <w:bCs/>
                <w:color w:val="auto"/>
                <w:sz w:val="24"/>
                <w:szCs w:val="24"/>
                <w:lang w:val="en-US" w:eastAsia="zh-CN"/>
              </w:rPr>
              <w:t xml:space="preserve">     </w:t>
            </w:r>
            <w:r>
              <w:rPr>
                <w:rFonts w:hint="default" w:ascii="Times New Roman" w:hAnsi="Times New Roman" w:eastAsia="黑体" w:cs="Times New Roman"/>
                <w:b w:val="0"/>
                <w:bCs/>
                <w:color w:val="auto"/>
                <w:sz w:val="24"/>
                <w:szCs w:val="24"/>
                <w:lang w:val="en-US" w:eastAsia="zh-CN"/>
              </w:rPr>
              <w:t xml:space="preserve"> 《建筑施工场界环境噪声排放标准》</w:t>
            </w:r>
          </w:p>
          <w:tbl>
            <w:tblPr>
              <w:tblStyle w:val="28"/>
              <w:tblW w:w="85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4"/>
              <w:gridCol w:w="4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4020" w:type="dxa"/>
                  <w:noWrap w:val="0"/>
                  <w:vAlign w:val="center"/>
                </w:tcPr>
                <w:p>
                  <w:pPr>
                    <w:spacing w:line="27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昼间</w:t>
                  </w:r>
                </w:p>
              </w:tc>
              <w:tc>
                <w:tcPr>
                  <w:tcW w:w="4605" w:type="dxa"/>
                  <w:noWrap w:val="0"/>
                  <w:vAlign w:val="center"/>
                </w:tcPr>
                <w:p>
                  <w:pPr>
                    <w:spacing w:line="27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4020" w:type="dxa"/>
                  <w:noWrap w:val="0"/>
                  <w:vAlign w:val="center"/>
                </w:tcPr>
                <w:p>
                  <w:pPr>
                    <w:spacing w:line="27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r>
                    <w:rPr>
                      <w:rFonts w:hint="default" w:ascii="Times New Roman" w:hAnsi="Times New Roman" w:cs="Times New Roman"/>
                      <w:bCs/>
                      <w:color w:val="auto"/>
                      <w:szCs w:val="21"/>
                    </w:rPr>
                    <w:t>dB</w:t>
                  </w:r>
                </w:p>
              </w:tc>
              <w:tc>
                <w:tcPr>
                  <w:tcW w:w="4605" w:type="dxa"/>
                  <w:noWrap w:val="0"/>
                  <w:vAlign w:val="center"/>
                </w:tcPr>
                <w:p>
                  <w:pPr>
                    <w:spacing w:line="27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55</w:t>
                  </w:r>
                  <w:r>
                    <w:rPr>
                      <w:rFonts w:hint="default" w:ascii="Times New Roman" w:hAnsi="Times New Roman" w:cs="Times New Roman"/>
                      <w:bCs/>
                      <w:color w:val="auto"/>
                      <w:szCs w:val="21"/>
                    </w:rPr>
                    <w:t>dB</w:t>
                  </w:r>
                </w:p>
              </w:tc>
            </w:tr>
          </w:tbl>
          <w:p>
            <w:pPr>
              <w:pStyle w:val="49"/>
              <w:bidi w:val="0"/>
              <w:spacing w:line="360" w:lineRule="auto"/>
              <w:ind w:left="0" w:leftChars="0" w:firstLine="480" w:firstLineChars="20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本工程运营期噪声执行《工业企业厂界环境噪声排放标准》（GB12348-2008） 中的2类标准要求。</w:t>
            </w:r>
          </w:p>
          <w:p>
            <w:pPr>
              <w:pStyle w:val="49"/>
              <w:bidi w:val="0"/>
              <w:spacing w:line="240" w:lineRule="auto"/>
              <w:ind w:left="0" w:leftChars="0" w:firstLine="480" w:firstLineChars="200"/>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lang w:val="en-US" w:eastAsia="zh-CN"/>
              </w:rPr>
              <w:t>表16  《工业企业厂界环境噪声排放标准》（GB12348-2008） 单位：dB(A)</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1467"/>
              <w:gridCol w:w="1424"/>
              <w:gridCol w:w="1480"/>
              <w:gridCol w:w="272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99" w:type="dxa"/>
                  <w:noWrap w:val="0"/>
                  <w:vAlign w:val="center"/>
                </w:tcPr>
                <w:p>
                  <w:pPr>
                    <w:spacing w:line="270" w:lineRule="exact"/>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类别</w:t>
                  </w:r>
                </w:p>
              </w:tc>
              <w:tc>
                <w:tcPr>
                  <w:tcW w:w="1467" w:type="dxa"/>
                  <w:noWrap w:val="0"/>
                  <w:vAlign w:val="center"/>
                </w:tcPr>
                <w:p>
                  <w:pPr>
                    <w:spacing w:line="270" w:lineRule="exact"/>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昼间</w:t>
                  </w:r>
                </w:p>
              </w:tc>
              <w:tc>
                <w:tcPr>
                  <w:tcW w:w="1424" w:type="dxa"/>
                  <w:noWrap w:val="0"/>
                  <w:vAlign w:val="center"/>
                </w:tcPr>
                <w:p>
                  <w:pPr>
                    <w:spacing w:line="270" w:lineRule="exact"/>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夜间</w:t>
                  </w:r>
                </w:p>
              </w:tc>
              <w:tc>
                <w:tcPr>
                  <w:tcW w:w="1480" w:type="dxa"/>
                  <w:noWrap w:val="0"/>
                  <w:vAlign w:val="center"/>
                </w:tcPr>
                <w:p>
                  <w:pPr>
                    <w:spacing w:line="270" w:lineRule="exact"/>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等效声级</w:t>
                  </w:r>
                </w:p>
              </w:tc>
              <w:tc>
                <w:tcPr>
                  <w:tcW w:w="2727" w:type="dxa"/>
                  <w:noWrap w:val="0"/>
                  <w:vAlign w:val="center"/>
                </w:tcPr>
                <w:p>
                  <w:pPr>
                    <w:spacing w:line="270" w:lineRule="exact"/>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项目适用范围</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99" w:type="dxa"/>
                  <w:noWrap w:val="0"/>
                  <w:vAlign w:val="center"/>
                </w:tcPr>
                <w:p>
                  <w:pPr>
                    <w:spacing w:line="270" w:lineRule="exact"/>
                    <w:jc w:val="center"/>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2类</w:t>
                  </w:r>
                </w:p>
              </w:tc>
              <w:tc>
                <w:tcPr>
                  <w:tcW w:w="1467" w:type="dxa"/>
                  <w:noWrap w:val="0"/>
                  <w:vAlign w:val="center"/>
                </w:tcPr>
                <w:p>
                  <w:pPr>
                    <w:spacing w:line="270" w:lineRule="exact"/>
                    <w:jc w:val="center"/>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60</w:t>
                  </w:r>
                </w:p>
              </w:tc>
              <w:tc>
                <w:tcPr>
                  <w:tcW w:w="1424" w:type="dxa"/>
                  <w:noWrap w:val="0"/>
                  <w:vAlign w:val="center"/>
                </w:tcPr>
                <w:p>
                  <w:pPr>
                    <w:spacing w:line="270" w:lineRule="exact"/>
                    <w:jc w:val="center"/>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50</w:t>
                  </w:r>
                </w:p>
              </w:tc>
              <w:tc>
                <w:tcPr>
                  <w:tcW w:w="1480" w:type="dxa"/>
                  <w:noWrap w:val="0"/>
                  <w:vAlign w:val="center"/>
                </w:tcPr>
                <w:p>
                  <w:pPr>
                    <w:spacing w:line="270" w:lineRule="exact"/>
                    <w:jc w:val="center"/>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dB（A）</w:t>
                  </w:r>
                </w:p>
              </w:tc>
              <w:tc>
                <w:tcPr>
                  <w:tcW w:w="2727" w:type="dxa"/>
                  <w:noWrap w:val="0"/>
                  <w:vAlign w:val="center"/>
                </w:tcPr>
                <w:p>
                  <w:pPr>
                    <w:spacing w:line="270" w:lineRule="exact"/>
                    <w:jc w:val="center"/>
                    <w:rPr>
                      <w:rFonts w:hint="default" w:ascii="Times New Roman" w:hAnsi="Times New Roman" w:eastAsia="宋体" w:cs="Times New Roman"/>
                      <w:b w:val="0"/>
                      <w:bCs/>
                      <w:color w:val="auto"/>
                      <w:szCs w:val="21"/>
                      <w:lang w:val="en-US" w:eastAsia="zh-CN"/>
                    </w:rPr>
                  </w:pPr>
                  <w:r>
                    <w:rPr>
                      <w:rFonts w:hint="default" w:ascii="Times New Roman" w:hAnsi="Times New Roman" w:eastAsia="宋体" w:cs="Times New Roman"/>
                      <w:b w:val="0"/>
                      <w:bCs/>
                      <w:color w:val="auto"/>
                      <w:szCs w:val="21"/>
                      <w:lang w:val="en-US" w:eastAsia="zh-CN"/>
                    </w:rPr>
                    <w:t>东、南、北、西厂界</w:t>
                  </w:r>
                </w:p>
              </w:tc>
            </w:tr>
          </w:tbl>
          <w:p>
            <w:pPr>
              <w:pStyle w:val="49"/>
              <w:keepNext w:val="0"/>
              <w:keepLines w:val="0"/>
              <w:pageBreakBefore w:val="0"/>
              <w:widowControl w:val="0"/>
              <w:kinsoku/>
              <w:wordWrap/>
              <w:overflowPunct w:val="0"/>
              <w:topLinePunct w:val="0"/>
              <w:autoSpaceDE/>
              <w:autoSpaceDN/>
              <w:bidi w:val="0"/>
              <w:adjustRightInd w:val="0"/>
              <w:snapToGrid w:val="0"/>
              <w:spacing w:before="157" w:beforeLines="50"/>
              <w:textAlignment w:val="auto"/>
              <w:rPr>
                <w:rFonts w:hint="default" w:ascii="Times New Roman" w:hAnsi="Times New Roman" w:cs="Times New Roman"/>
                <w:b/>
                <w:bCs/>
                <w:color w:val="auto"/>
                <w:lang w:val="en-US" w:eastAsia="zh-CN"/>
              </w:rPr>
            </w:pPr>
            <w:r>
              <w:rPr>
                <w:rFonts w:hint="eastAsia" w:cs="Times New Roman"/>
                <w:b/>
                <w:bCs/>
                <w:color w:val="auto"/>
                <w:lang w:val="en-US" w:eastAsia="zh-CN"/>
              </w:rPr>
              <w:t>（3）</w:t>
            </w:r>
            <w:r>
              <w:rPr>
                <w:rFonts w:hint="default" w:ascii="Times New Roman" w:hAnsi="Times New Roman" w:cs="Times New Roman"/>
                <w:b/>
                <w:bCs/>
                <w:color w:val="auto"/>
                <w:lang w:val="en-US" w:eastAsia="zh-CN"/>
              </w:rPr>
              <w:t>固体废物管理</w:t>
            </w:r>
          </w:p>
          <w:p>
            <w:pPr>
              <w:pStyle w:val="49"/>
              <w:bidi w:val="0"/>
              <w:rPr>
                <w:rFonts w:hint="eastAsia" w:cs="Times New Roman"/>
                <w:color w:val="auto"/>
                <w:lang w:val="en-US" w:eastAsia="zh-CN"/>
              </w:rPr>
            </w:pPr>
            <w:r>
              <w:rPr>
                <w:rFonts w:hint="default" w:ascii="Times New Roman" w:hAnsi="Times New Roman" w:cs="Times New Roman"/>
                <w:color w:val="auto"/>
                <w:lang w:val="en-US" w:eastAsia="zh-CN"/>
              </w:rPr>
              <w:t>本工程施工期固体废物主要包括建筑垃圾</w:t>
            </w:r>
            <w:r>
              <w:rPr>
                <w:rFonts w:hint="eastAsia" w:cs="Times New Roman"/>
                <w:color w:val="auto"/>
                <w:lang w:val="en-US" w:eastAsia="zh-CN"/>
              </w:rPr>
              <w:t>、废包装袋等</w:t>
            </w:r>
            <w:r>
              <w:rPr>
                <w:rFonts w:hint="default" w:ascii="Times New Roman" w:hAnsi="Times New Roman" w:cs="Times New Roman"/>
                <w:color w:val="auto"/>
                <w:lang w:val="en-US" w:eastAsia="zh-CN"/>
              </w:rPr>
              <w:t>一般工业固废以及员工生活产生的生活垃圾。本项目施工期一般</w:t>
            </w:r>
            <w:r>
              <w:rPr>
                <w:rFonts w:hint="eastAsia" w:cs="Times New Roman"/>
                <w:color w:val="auto"/>
                <w:lang w:val="en-US" w:eastAsia="zh-CN"/>
              </w:rPr>
              <w:t>工业</w:t>
            </w:r>
            <w:r>
              <w:rPr>
                <w:rFonts w:hint="default" w:ascii="Times New Roman" w:hAnsi="Times New Roman" w:cs="Times New Roman"/>
                <w:color w:val="auto"/>
                <w:lang w:val="en-US" w:eastAsia="zh-CN"/>
              </w:rPr>
              <w:t>固体废物</w:t>
            </w:r>
            <w:r>
              <w:rPr>
                <w:rFonts w:hint="eastAsia" w:cs="Times New Roman"/>
                <w:color w:val="auto"/>
                <w:lang w:val="en-US" w:eastAsia="zh-CN"/>
              </w:rPr>
              <w:t>在施工营地</w:t>
            </w:r>
            <w:r>
              <w:rPr>
                <w:rFonts w:hint="default" w:ascii="Times New Roman" w:hAnsi="Times New Roman" w:cs="Times New Roman"/>
                <w:color w:val="auto"/>
                <w:lang w:val="en-US" w:eastAsia="zh-CN"/>
              </w:rPr>
              <w:t>暂存应满足防渗漏、防雨淋、防扬尘等环境保护要求</w:t>
            </w:r>
            <w:r>
              <w:rPr>
                <w:rFonts w:hint="eastAsia" w:cs="Times New Roman"/>
                <w:color w:val="auto"/>
                <w:lang w:val="en-US" w:eastAsia="zh-CN"/>
              </w:rPr>
              <w:t>；</w:t>
            </w:r>
            <w:r>
              <w:rPr>
                <w:rFonts w:hint="default" w:ascii="Times New Roman" w:hAnsi="Times New Roman" w:cs="Times New Roman"/>
                <w:color w:val="auto"/>
                <w:lang w:val="en-US" w:eastAsia="zh-CN"/>
              </w:rPr>
              <w:t>建筑垃圾清运至</w:t>
            </w:r>
            <w:r>
              <w:rPr>
                <w:rFonts w:hint="eastAsia" w:cs="Times New Roman"/>
                <w:color w:val="auto"/>
                <w:lang w:val="en-US" w:eastAsia="zh-CN"/>
              </w:rPr>
              <w:t>海原县</w:t>
            </w:r>
            <w:r>
              <w:rPr>
                <w:rFonts w:hint="default" w:ascii="Times New Roman" w:hAnsi="Times New Roman" w:cs="Times New Roman"/>
                <w:color w:val="auto"/>
                <w:lang w:val="en-US" w:eastAsia="zh-CN"/>
              </w:rPr>
              <w:t>市政规定的建筑垃圾堆放场地；</w:t>
            </w:r>
            <w:r>
              <w:rPr>
                <w:rFonts w:hint="eastAsia" w:cs="Times New Roman"/>
                <w:color w:val="auto"/>
                <w:lang w:val="en-US" w:eastAsia="zh-CN"/>
              </w:rPr>
              <w:t>生活垃圾集中收集后，由环卫部门统一处理。运营期固体废物主要为设备检修产生的废润滑油集中收集后，直接交由有资质单位处置。箱变基础在油箱下部设事故储油池（单个容积为5m</w:t>
            </w:r>
            <w:r>
              <w:rPr>
                <w:rFonts w:hint="eastAsia" w:cs="Times New Roman"/>
                <w:color w:val="auto"/>
                <w:vertAlign w:val="superscript"/>
                <w:lang w:val="en-US" w:eastAsia="zh-CN"/>
              </w:rPr>
              <w:t>3</w:t>
            </w:r>
            <w:r>
              <w:rPr>
                <w:rFonts w:hint="eastAsia" w:cs="Times New Roman"/>
                <w:color w:val="auto"/>
                <w:lang w:val="en-US" w:eastAsia="zh-CN"/>
              </w:rPr>
              <w:t>），共计150个，事故废油经事故储油池收集后，直接交由资质单位处置，事故油池严格按照《危险废物贮存污染控制标准》（GB18597-2023）要求进行建设及管理，事故油池做基础防渗，防渗层为至少1m厚的粘土层（渗透系数不大于1.0×10</w:t>
            </w:r>
            <w:r>
              <w:rPr>
                <w:rFonts w:hint="eastAsia" w:cs="Times New Roman"/>
                <w:color w:val="auto"/>
                <w:vertAlign w:val="superscript"/>
                <w:lang w:val="en-US" w:eastAsia="zh-CN"/>
              </w:rPr>
              <w:t>-7</w:t>
            </w:r>
            <w:r>
              <w:rPr>
                <w:rFonts w:hint="eastAsia" w:cs="Times New Roman"/>
                <w:color w:val="auto"/>
                <w:lang w:val="en-US" w:eastAsia="zh-CN"/>
              </w:rPr>
              <w:t>cm/s），或至少2mm厚高密度聚乙烯等人工防渗材料（渗透系数不大于1.0×10</w:t>
            </w:r>
            <w:r>
              <w:rPr>
                <w:rFonts w:hint="eastAsia" w:cs="Times New Roman"/>
                <w:color w:val="auto"/>
                <w:vertAlign w:val="superscript"/>
                <w:lang w:val="en-US" w:eastAsia="zh-CN"/>
              </w:rPr>
              <w:t>-10</w:t>
            </w:r>
            <w:r>
              <w:rPr>
                <w:rFonts w:hint="eastAsia" w:cs="Times New Roman"/>
                <w:color w:val="auto"/>
                <w:lang w:val="en-US" w:eastAsia="zh-CN"/>
              </w:rPr>
              <w:t>cm/s），或其他防渗性能等效的材料。</w:t>
            </w:r>
          </w:p>
          <w:p>
            <w:pPr>
              <w:pStyle w:val="49"/>
              <w:bidi w:val="0"/>
              <w:rPr>
                <w:rFonts w:hint="default" w:ascii="Times New Roman" w:hAnsi="Times New Roman" w:eastAsia="宋体" w:cs="Times New Roman"/>
                <w:b/>
                <w:bCs/>
                <w:color w:val="auto"/>
                <w:kern w:val="2"/>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4" w:hRule="atLeast"/>
          <w:jc w:val="center"/>
        </w:trPr>
        <w:tc>
          <w:tcPr>
            <w:tcW w:w="711" w:type="dxa"/>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评价标准</w:t>
            </w:r>
          </w:p>
        </w:tc>
        <w:tc>
          <w:tcPr>
            <w:tcW w:w="8643" w:type="dxa"/>
            <w:vMerge w:val="continue"/>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11" w:type="dxa"/>
            <w:tcBorders>
              <w:tl2br w:val="nil"/>
              <w:tr2bl w:val="nil"/>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其他</w:t>
            </w:r>
          </w:p>
        </w:tc>
        <w:tc>
          <w:tcPr>
            <w:tcW w:w="8643" w:type="dxa"/>
            <w:tcBorders>
              <w:tl2br w:val="nil"/>
              <w:tr2bl w:val="nil"/>
            </w:tcBorders>
            <w:vAlign w:val="center"/>
          </w:tcPr>
          <w:p>
            <w:pPr>
              <w:pStyle w:val="49"/>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无</w:t>
            </w:r>
          </w:p>
        </w:tc>
      </w:tr>
    </w:tbl>
    <w:p>
      <w:pPr>
        <w:jc w:val="left"/>
        <w:rPr>
          <w:rFonts w:hint="default" w:ascii="Times New Roman" w:hAnsi="Times New Roman" w:eastAsia="黑体" w:cs="Times New Roman"/>
          <w:b/>
          <w:bCs/>
          <w:color w:val="auto"/>
          <w:sz w:val="30"/>
          <w:szCs w:val="30"/>
          <w:highlight w:val="none"/>
        </w:rPr>
        <w:sectPr>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pPr>
        <w:pStyle w:val="7"/>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四、生态环境影响分析</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8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52" w:hRule="atLeast"/>
          <w:jc w:val="center"/>
        </w:trPr>
        <w:tc>
          <w:tcPr>
            <w:tcW w:w="738" w:type="dxa"/>
            <w:vAlign w:val="center"/>
          </w:tcPr>
          <w:p>
            <w:pPr>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施工期生态环境影响分析</w:t>
            </w:r>
          </w:p>
        </w:tc>
        <w:tc>
          <w:tcPr>
            <w:tcW w:w="8616" w:type="dxa"/>
            <w:vMerge w:val="restart"/>
            <w:vAlign w:val="center"/>
          </w:tcPr>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施工过程中进行土石方开挖，坝体施工等工程及施工机械和施工人员的活动。施工期对区域生态环境影响为土壤扰动、地表植被的破坏、项目占地对土地的使用功能的影响及施工过程施工弃土的回填会改变土壤层次、紧实度和质地，影响土壤发育，降低土壤肥力，影响植被生长</w:t>
            </w:r>
            <w:r>
              <w:rPr>
                <w:rFonts w:hint="eastAsia" w:cs="Times New Roman"/>
                <w:color w:val="auto"/>
                <w:lang w:val="en-US" w:eastAsia="zh-CN"/>
              </w:rPr>
              <w:t>。</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（1）对土地利用的影响</w:t>
            </w:r>
          </w:p>
          <w:p>
            <w:pPr>
              <w:pStyle w:val="49"/>
              <w:bidi w:val="0"/>
              <w:rPr>
                <w:rFonts w:hint="eastAsia" w:cs="Times New Roman"/>
                <w:color w:val="auto"/>
                <w:lang w:val="en-US" w:eastAsia="zh-CN"/>
              </w:rPr>
            </w:pPr>
            <w:r>
              <w:rPr>
                <w:rFonts w:hint="eastAsia" w:cs="Times New Roman"/>
                <w:color w:val="auto"/>
                <w:lang w:val="en-US" w:eastAsia="zh-CN"/>
              </w:rPr>
              <w:t>本工程建设引起的水土流失量的增加主要表现在扰动地表、破坏植被，使地表土壤裸露，加大表层土土壤松散性，抗蚀能力降低，施工建设活动主要从以下几个方面促使形成新增水土流失：</w:t>
            </w:r>
          </w:p>
          <w:p>
            <w:pPr>
              <w:pStyle w:val="49"/>
              <w:bidi w:val="0"/>
              <w:rPr>
                <w:rFonts w:hint="eastAsia" w:cs="Times New Roman"/>
                <w:color w:val="auto"/>
                <w:lang w:val="en-US" w:eastAsia="zh-CN"/>
              </w:rPr>
            </w:pPr>
            <w:r>
              <w:rPr>
                <w:rFonts w:hint="eastAsia" w:cs="Times New Roman"/>
                <w:color w:val="auto"/>
                <w:lang w:val="en-US" w:eastAsia="zh-CN"/>
              </w:rPr>
              <w:t>a.造成局部地形的变化</w:t>
            </w:r>
          </w:p>
          <w:p>
            <w:pPr>
              <w:pStyle w:val="49"/>
              <w:bidi w:val="0"/>
              <w:rPr>
                <w:rFonts w:hint="eastAsia" w:cs="Times New Roman"/>
                <w:color w:val="auto"/>
                <w:lang w:val="en-US" w:eastAsia="zh-CN"/>
              </w:rPr>
            </w:pPr>
            <w:r>
              <w:rPr>
                <w:rFonts w:hint="eastAsia" w:cs="Times New Roman"/>
                <w:color w:val="auto"/>
                <w:lang w:val="en-US" w:eastAsia="zh-CN"/>
              </w:rPr>
              <w:t>在项目建设过程中，由于原地表遭到人为扰动和破坏，形成场地边坡等再塑地貌，再塑地貌的岩土物质与原地面物质相比，结构松散，边坡大多不稳定，且施工期没有植被防护，抗侵蚀能力明显降低，易发生水土流失。</w:t>
            </w:r>
          </w:p>
          <w:p>
            <w:pPr>
              <w:pStyle w:val="49"/>
              <w:bidi w:val="0"/>
              <w:rPr>
                <w:rFonts w:hint="eastAsia" w:cs="Times New Roman"/>
                <w:color w:val="auto"/>
                <w:lang w:val="en-US" w:eastAsia="zh-CN"/>
              </w:rPr>
            </w:pPr>
            <w:r>
              <w:rPr>
                <w:rFonts w:hint="eastAsia" w:cs="Times New Roman"/>
                <w:color w:val="auto"/>
                <w:lang w:val="en-US" w:eastAsia="zh-CN"/>
              </w:rPr>
              <w:t>b.土壤结构发生变化</w:t>
            </w:r>
          </w:p>
          <w:p>
            <w:pPr>
              <w:pStyle w:val="49"/>
              <w:bidi w:val="0"/>
              <w:rPr>
                <w:rFonts w:hint="eastAsia" w:cs="Times New Roman"/>
                <w:color w:val="auto"/>
                <w:lang w:val="en-US" w:eastAsia="zh-CN"/>
              </w:rPr>
            </w:pPr>
            <w:r>
              <w:rPr>
                <w:rFonts w:hint="eastAsia" w:cs="Times New Roman"/>
                <w:color w:val="auto"/>
                <w:lang w:val="en-US" w:eastAsia="zh-CN"/>
              </w:rPr>
              <w:t>土壤是被侵蚀的对象，本工程的建设对土体的扰动作用使扰动区土体结构松散，抗侵蚀力明显减弱，加剧了土壤侵蚀程度和强度。</w:t>
            </w:r>
          </w:p>
          <w:p>
            <w:pPr>
              <w:pStyle w:val="49"/>
              <w:bidi w:val="0"/>
              <w:rPr>
                <w:rFonts w:hint="eastAsia" w:cs="Times New Roman"/>
                <w:color w:val="auto"/>
                <w:lang w:val="en-US" w:eastAsia="zh-CN"/>
              </w:rPr>
            </w:pPr>
            <w:r>
              <w:rPr>
                <w:rFonts w:hint="eastAsia" w:cs="Times New Roman"/>
                <w:color w:val="auto"/>
                <w:lang w:val="en-US" w:eastAsia="zh-CN"/>
              </w:rPr>
              <w:t>c.植被受到扰动和破坏</w:t>
            </w:r>
          </w:p>
          <w:p>
            <w:pPr>
              <w:pStyle w:val="49"/>
              <w:bidi w:val="0"/>
              <w:rPr>
                <w:rFonts w:hint="eastAsia" w:cs="Times New Roman"/>
                <w:color w:val="auto"/>
                <w:lang w:val="en-US" w:eastAsia="zh-CN"/>
              </w:rPr>
            </w:pPr>
            <w:r>
              <w:rPr>
                <w:rFonts w:hint="eastAsia" w:cs="Times New Roman"/>
                <w:color w:val="auto"/>
                <w:lang w:val="en-US" w:eastAsia="zh-CN"/>
              </w:rPr>
              <w:t>场地平整、土方开挖等过程均要进行植被清除、开挖地表和地面建设，施工运输、施工机械、人员践踏、破坏了工程区域原有地貌和植被，造成一定植被的损失，因此将直接导致项目区范围内生物量的下降。</w:t>
            </w:r>
          </w:p>
          <w:p>
            <w:pPr>
              <w:pStyle w:val="49"/>
              <w:bidi w:val="0"/>
              <w:rPr>
                <w:rFonts w:hint="eastAsia" w:cs="Times New Roman"/>
                <w:color w:val="auto"/>
                <w:lang w:val="en-US" w:eastAsia="zh-CN"/>
              </w:rPr>
            </w:pPr>
            <w:r>
              <w:rPr>
                <w:rFonts w:hint="eastAsia" w:cs="Times New Roman"/>
                <w:color w:val="auto"/>
                <w:lang w:val="en-US" w:eastAsia="zh-CN"/>
              </w:rPr>
              <w:t>d.土地类型的改变</w:t>
            </w:r>
          </w:p>
          <w:p>
            <w:pPr>
              <w:pStyle w:val="49"/>
              <w:bidi w:val="0"/>
              <w:rPr>
                <w:rFonts w:hint="eastAsia" w:cs="Times New Roman"/>
                <w:color w:val="auto"/>
                <w:lang w:val="en-US" w:eastAsia="zh-CN"/>
              </w:rPr>
            </w:pPr>
            <w:r>
              <w:rPr>
                <w:rFonts w:hint="eastAsia" w:cs="Times New Roman"/>
                <w:color w:val="auto"/>
                <w:lang w:val="en-US" w:eastAsia="zh-CN"/>
              </w:rPr>
              <w:t>本工程永</w:t>
            </w:r>
            <w:r>
              <w:rPr>
                <w:rFonts w:hint="eastAsia" w:cs="Times New Roman"/>
                <w:color w:val="auto"/>
                <w:highlight w:val="none"/>
                <w:lang w:val="en-US" w:eastAsia="zh-CN"/>
              </w:rPr>
              <w:t>久占地80850m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，临时占地2096915m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。在施工过程中，土石方开挖后不能利用的余土运至弃土场摊平</w:t>
            </w:r>
            <w:r>
              <w:rPr>
                <w:rFonts w:hint="eastAsia" w:cs="Times New Roman"/>
                <w:color w:val="auto"/>
                <w:lang w:val="en-US" w:eastAsia="zh-CN"/>
              </w:rPr>
              <w:t>后，回填整平并进行复垦，覆土后和周边地貌保持一致，景观协调。</w:t>
            </w:r>
            <w:bookmarkStart w:id="1" w:name="_Toc15991"/>
            <w:bookmarkStart w:id="2" w:name="_Toc15363633"/>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（2）对植被影响分析</w:t>
            </w:r>
            <w:bookmarkEnd w:id="1"/>
          </w:p>
          <w:bookmarkEnd w:id="2"/>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场地平整、土方开挖等过程均要进行植被清除、开挖地表和地面建设，施工运输、施工机械、人员践踏、破坏了工程区域原有地貌和植被，造成一定植被的损失，因此将直接导致项目区范围内生物量的下降。根据现场勘察，拟建</w:t>
            </w:r>
            <w:r>
              <w:rPr>
                <w:rFonts w:hint="eastAsia" w:cs="Times New Roman"/>
                <w:color w:val="auto"/>
                <w:lang w:val="en-US" w:eastAsia="zh-CN"/>
              </w:rPr>
              <w:t>项目</w:t>
            </w:r>
            <w:r>
              <w:rPr>
                <w:rFonts w:hint="default" w:ascii="Times New Roman" w:hAnsi="Times New Roman" w:cs="Times New Roman"/>
                <w:color w:val="auto"/>
                <w:lang w:val="en-US" w:eastAsia="zh-CN"/>
              </w:rPr>
              <w:t>选址周边植被分布很少，且多为本地常见植被，不涉及重要保护植物物种及名木古树等，</w:t>
            </w:r>
            <w:r>
              <w:rPr>
                <w:rFonts w:hint="eastAsia" w:cs="Times New Roman"/>
                <w:color w:val="auto"/>
                <w:lang w:val="en-US" w:eastAsia="zh-CN"/>
              </w:rPr>
              <w:t>风电场</w:t>
            </w:r>
            <w:r>
              <w:rPr>
                <w:rFonts w:hint="default" w:ascii="Times New Roman" w:hAnsi="Times New Roman" w:cs="Times New Roman"/>
                <w:color w:val="auto"/>
                <w:lang w:val="en-US" w:eastAsia="zh-CN"/>
              </w:rPr>
              <w:t>建设完成后，</w:t>
            </w:r>
            <w:r>
              <w:rPr>
                <w:rFonts w:hint="eastAsia" w:cs="Times New Roman"/>
                <w:color w:val="auto"/>
                <w:lang w:val="en-US" w:eastAsia="zh-CN"/>
              </w:rPr>
              <w:t>恢复原有地貌及植被</w:t>
            </w:r>
            <w:r>
              <w:rPr>
                <w:rFonts w:hint="default" w:ascii="Times New Roman" w:hAnsi="Times New Roman" w:cs="Times New Roman"/>
                <w:color w:val="auto"/>
                <w:lang w:val="en-US" w:eastAsia="zh-CN"/>
              </w:rPr>
              <w:t>。因此</w:t>
            </w:r>
            <w:r>
              <w:rPr>
                <w:rFonts w:hint="eastAsia" w:cs="Times New Roman"/>
                <w:color w:val="auto"/>
                <w:lang w:val="en-US" w:eastAsia="zh-CN"/>
              </w:rPr>
              <w:t>风电场</w:t>
            </w:r>
            <w:r>
              <w:rPr>
                <w:rFonts w:hint="default" w:ascii="Times New Roman" w:hAnsi="Times New Roman" w:cs="Times New Roman"/>
                <w:color w:val="auto"/>
                <w:lang w:val="en-US" w:eastAsia="zh-CN"/>
              </w:rPr>
              <w:t>建设施工对周边植被的影响较小。</w:t>
            </w:r>
          </w:p>
          <w:p>
            <w:pPr>
              <w:pStyle w:val="49"/>
              <w:bidi w:val="0"/>
              <w:rPr>
                <w:rFonts w:hint="default" w:ascii="Times New Roman" w:hAnsi="Times New Roman" w:cs="Times New Roman"/>
                <w:b/>
                <w:bCs/>
                <w:color w:val="auto"/>
                <w:lang w:val="en-US" w:eastAsia="zh-CN"/>
              </w:rPr>
            </w:pPr>
            <w:bookmarkStart w:id="3" w:name="_Toc23333"/>
            <w:bookmarkStart w:id="4" w:name="_Toc18993"/>
            <w:bookmarkStart w:id="5" w:name="_Toc13377_WPSOffice_Level1"/>
            <w:bookmarkStart w:id="6" w:name="_Toc15363634"/>
            <w:r>
              <w:rPr>
                <w:rFonts w:hint="default" w:ascii="Times New Roman" w:hAnsi="Times New Roman" w:cs="Times New Roman"/>
                <w:b/>
                <w:bCs/>
                <w:color w:val="auto"/>
                <w:lang w:val="en-US" w:eastAsia="zh-CN"/>
              </w:rPr>
              <w:t>（3）对野生动物影响</w:t>
            </w:r>
            <w:bookmarkEnd w:id="3"/>
          </w:p>
          <w:bookmarkEnd w:id="4"/>
          <w:bookmarkEnd w:id="5"/>
          <w:bookmarkEnd w:id="6"/>
          <w:p>
            <w:pPr>
              <w:pStyle w:val="49"/>
              <w:bidi w:val="0"/>
              <w:rPr>
                <w:rFonts w:hint="default" w:ascii="Times New Roman" w:hAnsi="Times New Roman" w:cs="Times New Roman"/>
                <w:color w:val="auto"/>
                <w:lang w:val="en-US" w:eastAsia="zh-CN"/>
              </w:rPr>
            </w:pPr>
            <w:bookmarkStart w:id="7" w:name="_Toc405288419"/>
            <w:r>
              <w:rPr>
                <w:rFonts w:hint="default" w:ascii="Times New Roman" w:hAnsi="Times New Roman" w:cs="Times New Roman"/>
                <w:color w:val="auto"/>
                <w:lang w:val="en-US" w:eastAsia="zh-CN"/>
              </w:rPr>
              <w:t>施工活动将可能导致动物生境切割，以及动物栖息地的扰动，对施工范围内野生动物产生一定的影响；根据现场调查，工程区不涉及野生动物的集中栖息地；本工</w:t>
            </w:r>
            <w:r>
              <w:rPr>
                <w:rFonts w:hint="eastAsia" w:cs="Times New Roman"/>
                <w:color w:val="auto"/>
                <w:lang w:val="en-US" w:eastAsia="zh-CN"/>
              </w:rPr>
              <w:t>程涉及的</w:t>
            </w:r>
            <w:r>
              <w:rPr>
                <w:rFonts w:hint="default" w:ascii="Times New Roman" w:hAnsi="Times New Roman" w:cs="Times New Roman"/>
                <w:color w:val="auto"/>
                <w:lang w:val="en-US" w:eastAsia="zh-CN"/>
              </w:rPr>
              <w:t>野生动物主要为鸟类、鼠类等常见野生动物。</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a.工程活动对鸟类的影响</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施工过程中，影响到野生动物的迁移与觅食，施工的噪音影响野生动物的栖息，对栖息在附近的鸟类造成一定程度的惊吓，鸟类纷纷逃离施工现场，飞迁到周围隐蔽安全区域生活；如在夜晚施工，灯光也会影响到鸟类的栖息，甚至影响到候鸟的迁移等。此外，堆放的生活垃圾以及废弃物也对野生鸟类的生存产生影响。</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b.对爬行动物的影响</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评价区的爬行动物主要为蜥蜴目和蛇目，生境广泛，它们受工程影响时可以顺利转移到评价区内其他生境，本次治理工程的设施对爬行动物影响不大；且堆渣形成的碎石裸地，在新植被形成之前，由于没有动物的隐蔽场所，太阳光直射，蜥蜴目中喜阳、喜干燥的种类种群数量可能会增加。</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c.对兽类的影响</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评价范围内兽类主要为沙鼠、跳鼠等啮齿目，施工期噪声及施工人为活动带来的驱逐影响较小，它们可以暂时转移至其他区域活动。啮齿目鼠科种类喜栖息于住宅，多与人伴居，大量施工人员进入施工现场可能会增加它们的种群密度。因此本项目建设不会造成沿线兽类生境的割裂，影响有限。</w:t>
            </w:r>
          </w:p>
          <w:bookmarkEnd w:id="7"/>
          <w:p>
            <w:pPr>
              <w:pStyle w:val="49"/>
              <w:bidi w:val="0"/>
              <w:rPr>
                <w:rFonts w:hint="default" w:ascii="Times New Roman" w:hAnsi="Times New Roman" w:cs="Times New Roman"/>
                <w:b/>
                <w:bCs/>
                <w:color w:val="auto"/>
                <w:lang w:val="en-US" w:eastAsia="zh-CN"/>
              </w:rPr>
            </w:pPr>
            <w:bookmarkStart w:id="8" w:name="_Toc5689"/>
            <w:bookmarkStart w:id="9" w:name="_Toc15363635"/>
            <w:r>
              <w:rPr>
                <w:rFonts w:hint="default" w:ascii="Times New Roman" w:hAnsi="Times New Roman" w:cs="Times New Roman"/>
                <w:b/>
                <w:bCs/>
                <w:color w:val="auto"/>
                <w:lang w:val="en-US" w:eastAsia="zh-CN"/>
              </w:rPr>
              <w:t>（4）土壤侵蚀影响分析</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过施工期的场地开挖、平整后，原地貌、土壤和植被的破坏严重，使其失去原有的防冲、固土的能力，导致土体抗侵蚀能力降低，土壤侵蚀加剧。在施工期间，若不采取相应的水土保持措施，将导致项目建设区水土流失急剧增加。但随着永久占地及绿化的配套，地表扰动相对减轻，水土流失逐渐减弱。</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（5）生物多样性影响分析</w:t>
            </w:r>
            <w:bookmarkEnd w:id="8"/>
          </w:p>
          <w:bookmarkEnd w:id="9"/>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本次</w:t>
            </w:r>
            <w:r>
              <w:rPr>
                <w:rFonts w:hint="eastAsia" w:cs="Times New Roman"/>
                <w:color w:val="auto"/>
                <w:lang w:val="en-US" w:eastAsia="zh-CN"/>
              </w:rPr>
              <w:t>风电场</w:t>
            </w:r>
            <w:r>
              <w:rPr>
                <w:rFonts w:hint="default" w:ascii="Times New Roman" w:hAnsi="Times New Roman" w:cs="Times New Roman"/>
                <w:color w:val="auto"/>
                <w:lang w:val="en-US" w:eastAsia="zh-CN"/>
              </w:rPr>
              <w:t>范围内，动植物都是常见的类型。在占用土地时，要清除地表的所有植物，会造成植被破坏。施工活动对地表土壤结构会造成一定的破坏，如尘土、碎石或废物的堆放，人员的践踏都会破坏原来的土壤结构，造成植物生长地的环境改变。</w:t>
            </w:r>
            <w:r>
              <w:rPr>
                <w:rFonts w:hint="eastAsia" w:cs="Times New Roman"/>
                <w:color w:val="auto"/>
                <w:lang w:val="en-US" w:eastAsia="zh-CN"/>
              </w:rPr>
              <w:t>本项目涉及</w:t>
            </w:r>
            <w:r>
              <w:rPr>
                <w:rFonts w:hint="default" w:ascii="Times New Roman" w:hAnsi="Times New Roman" w:cs="Times New Roman"/>
                <w:color w:val="auto"/>
                <w:lang w:val="en-US" w:eastAsia="zh-CN"/>
              </w:rPr>
              <w:t>清除的植被及影响的植物种类数量极微，对本工程经过地区的生态多样性不会造成影响。</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本工程评价区域内未发现受国家保护的珍稀、濒危动植物物种。工程的实施仅会造成植物数量上的减少，不会威胁物种群落多样性，因此本工程对沿线植被的影响较小。</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2.其他环境影响分析</w:t>
            </w:r>
          </w:p>
          <w:p>
            <w:pPr>
              <w:pStyle w:val="49"/>
              <w:bidi w:val="0"/>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lang w:val="en-US" w:eastAsia="zh-CN"/>
              </w:rPr>
              <w:t>2.1 大气环境影响分析</w:t>
            </w:r>
          </w:p>
          <w:p>
            <w:pPr>
              <w:pStyle w:val="49"/>
              <w:keepNext w:val="0"/>
              <w:keepLines w:val="0"/>
              <w:pageBreakBefore w:val="0"/>
              <w:widowControl w:val="0"/>
              <w:kinsoku/>
              <w:wordWrap/>
              <w:overflowPunct w:val="0"/>
              <w:topLinePunct w:val="0"/>
              <w:autoSpaceDE/>
              <w:autoSpaceDN/>
              <w:bidi w:val="0"/>
              <w:adjustRightInd w:val="0"/>
              <w:snapToGrid w:val="0"/>
              <w:spacing w:line="344" w:lineRule="auto"/>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本项目施工期大气污染物主要来源于施工扬尘、机械设备产生的燃油废气和运输车辆产生的汽车尾气、道路扬尘等，主要污染物为TSP、CO、NO</w:t>
            </w:r>
            <w:r>
              <w:rPr>
                <w:rFonts w:hint="default" w:ascii="Times New Roman" w:hAnsi="Times New Roman" w:eastAsia="仿宋_GB2312" w:cs="Times New Roman"/>
                <w:b w:val="0"/>
                <w:bCs w:val="0"/>
                <w:color w:val="auto"/>
                <w:vertAlign w:val="subscript"/>
                <w:lang w:val="en-US" w:eastAsia="zh-CN"/>
              </w:rPr>
              <w:t>X</w:t>
            </w:r>
            <w:r>
              <w:rPr>
                <w:rFonts w:hint="default" w:ascii="Times New Roman" w:hAnsi="Times New Roman" w:eastAsia="仿宋_GB2312" w:cs="Times New Roman"/>
                <w:b w:val="0"/>
                <w:bCs w:val="0"/>
                <w:color w:val="auto"/>
                <w:lang w:val="en-US" w:eastAsia="zh-CN"/>
              </w:rPr>
              <w:t>。</w:t>
            </w:r>
          </w:p>
          <w:p>
            <w:pPr>
              <w:pStyle w:val="49"/>
              <w:keepNext w:val="0"/>
              <w:keepLines w:val="0"/>
              <w:pageBreakBefore w:val="0"/>
              <w:widowControl w:val="0"/>
              <w:kinsoku/>
              <w:wordWrap/>
              <w:overflowPunct w:val="0"/>
              <w:topLinePunct w:val="0"/>
              <w:autoSpaceDE/>
              <w:autoSpaceDN/>
              <w:bidi w:val="0"/>
              <w:adjustRightInd w:val="0"/>
              <w:snapToGrid w:val="0"/>
              <w:spacing w:line="344" w:lineRule="auto"/>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（1）土方工程、开挖扬尘</w:t>
            </w:r>
          </w:p>
          <w:p>
            <w:pPr>
              <w:pStyle w:val="49"/>
              <w:keepNext w:val="0"/>
              <w:keepLines w:val="0"/>
              <w:pageBreakBefore w:val="0"/>
              <w:widowControl w:val="0"/>
              <w:kinsoku/>
              <w:wordWrap/>
              <w:overflowPunct w:val="0"/>
              <w:topLinePunct w:val="0"/>
              <w:autoSpaceDE/>
              <w:autoSpaceDN/>
              <w:bidi w:val="0"/>
              <w:adjustRightInd w:val="0"/>
              <w:snapToGrid w:val="0"/>
              <w:spacing w:line="344" w:lineRule="auto"/>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本工程施工期对大气环境的影响主要来源于土方工程开挖等一次扬尘和建筑材料、土方的汽车运输及施工车辆行驶产生的二次扬尘，主要污染物为 TSP；这些大气污染物会对周围环境空气质量产生一定影响。</w:t>
            </w:r>
          </w:p>
          <w:p>
            <w:pPr>
              <w:pStyle w:val="49"/>
              <w:keepNext w:val="0"/>
              <w:keepLines w:val="0"/>
              <w:pageBreakBefore w:val="0"/>
              <w:widowControl w:val="0"/>
              <w:kinsoku/>
              <w:wordWrap/>
              <w:overflowPunct w:val="0"/>
              <w:topLinePunct w:val="0"/>
              <w:autoSpaceDE/>
              <w:autoSpaceDN/>
              <w:bidi w:val="0"/>
              <w:adjustRightInd w:val="0"/>
              <w:snapToGrid w:val="0"/>
              <w:spacing w:line="344" w:lineRule="auto"/>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（2）临时弃土堆存扬尘</w:t>
            </w:r>
          </w:p>
          <w:p>
            <w:pPr>
              <w:pStyle w:val="49"/>
              <w:keepNext w:val="0"/>
              <w:keepLines w:val="0"/>
              <w:pageBreakBefore w:val="0"/>
              <w:widowControl w:val="0"/>
              <w:kinsoku/>
              <w:wordWrap/>
              <w:overflowPunct w:val="0"/>
              <w:topLinePunct w:val="0"/>
              <w:autoSpaceDE/>
              <w:autoSpaceDN/>
              <w:bidi w:val="0"/>
              <w:adjustRightInd w:val="0"/>
              <w:snapToGrid w:val="0"/>
              <w:spacing w:line="344" w:lineRule="auto"/>
              <w:textAlignment w:val="auto"/>
              <w:rPr>
                <w:rFonts w:hint="default" w:ascii="Times New Roman" w:hAnsi="Times New Roman" w:eastAsia="仿宋_GB2312" w:cs="Times New Roman"/>
                <w:b w:val="0"/>
                <w:bCs w:val="0"/>
                <w:color w:val="auto"/>
                <w:lang w:val="en-US" w:eastAsia="zh-CN"/>
              </w:rPr>
            </w:pPr>
            <w:r>
              <w:rPr>
                <w:rFonts w:hint="eastAsia" w:cs="Times New Roman"/>
                <w:b w:val="0"/>
                <w:bCs w:val="0"/>
                <w:color w:val="auto"/>
                <w:lang w:val="en-US" w:eastAsia="zh-CN"/>
              </w:rPr>
              <w:t>基础</w:t>
            </w:r>
            <w:r>
              <w:rPr>
                <w:rFonts w:hint="default" w:ascii="Times New Roman" w:hAnsi="Times New Roman" w:eastAsia="仿宋_GB2312" w:cs="Times New Roman"/>
                <w:b w:val="0"/>
                <w:bCs w:val="0"/>
                <w:color w:val="auto"/>
                <w:lang w:val="en-US" w:eastAsia="zh-CN"/>
              </w:rPr>
              <w:t>开挖挖出的土在临时堆存过程中，遇大风天气时将会产生一定扬尘，对周围环境和道路产生一定的影响。本项目施工期较短，挖出的土湿度较大，</w:t>
            </w:r>
            <w:r>
              <w:rPr>
                <w:rFonts w:hint="eastAsia" w:cs="Times New Roman"/>
                <w:b w:val="0"/>
                <w:bCs w:val="0"/>
                <w:color w:val="auto"/>
                <w:lang w:val="en-US" w:eastAsia="zh-CN"/>
              </w:rPr>
              <w:t>且开挖出的土方采用篷布进行遮盖</w:t>
            </w:r>
            <w:r>
              <w:rPr>
                <w:rFonts w:hint="default" w:ascii="Times New Roman" w:hAnsi="Times New Roman" w:eastAsia="仿宋_GB2312" w:cs="Times New Roman"/>
                <w:b w:val="0"/>
                <w:bCs w:val="0"/>
                <w:color w:val="auto"/>
                <w:lang w:val="en-US" w:eastAsia="zh-CN"/>
              </w:rPr>
              <w:t>，一般不会对周围环境产生明显影响。</w:t>
            </w:r>
          </w:p>
          <w:p>
            <w:pPr>
              <w:pStyle w:val="49"/>
              <w:keepNext w:val="0"/>
              <w:keepLines w:val="0"/>
              <w:pageBreakBefore w:val="0"/>
              <w:widowControl w:val="0"/>
              <w:kinsoku/>
              <w:wordWrap/>
              <w:overflowPunct w:val="0"/>
              <w:topLinePunct w:val="0"/>
              <w:autoSpaceDE/>
              <w:autoSpaceDN/>
              <w:bidi w:val="0"/>
              <w:adjustRightInd w:val="0"/>
              <w:snapToGrid w:val="0"/>
              <w:spacing w:line="344" w:lineRule="auto"/>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（3）施工机械尾气</w:t>
            </w:r>
          </w:p>
          <w:p>
            <w:pPr>
              <w:pStyle w:val="49"/>
              <w:keepNext w:val="0"/>
              <w:keepLines w:val="0"/>
              <w:pageBreakBefore w:val="0"/>
              <w:widowControl w:val="0"/>
              <w:kinsoku/>
              <w:wordWrap/>
              <w:overflowPunct w:val="0"/>
              <w:topLinePunct w:val="0"/>
              <w:autoSpaceDE/>
              <w:autoSpaceDN/>
              <w:bidi w:val="0"/>
              <w:adjustRightInd w:val="0"/>
              <w:snapToGrid w:val="0"/>
              <w:spacing w:line="344" w:lineRule="auto"/>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施工机械尾气来源于各类燃油动力机械（如汽车、推土机、铲运车、柴油车等）在进行场地平整、挖填、土方运输等作业时排放的废气，其中主要含有 HC、NO</w:t>
            </w:r>
            <w:r>
              <w:rPr>
                <w:rFonts w:hint="default" w:ascii="Times New Roman" w:hAnsi="Times New Roman" w:eastAsia="仿宋_GB2312" w:cs="Times New Roman"/>
                <w:b w:val="0"/>
                <w:bCs w:val="0"/>
                <w:color w:val="auto"/>
                <w:vertAlign w:val="subscript"/>
                <w:lang w:val="en-US" w:eastAsia="zh-CN"/>
              </w:rPr>
              <w:t>X</w:t>
            </w:r>
            <w:r>
              <w:rPr>
                <w:rFonts w:hint="default" w:ascii="Times New Roman" w:hAnsi="Times New Roman" w:eastAsia="仿宋_GB2312" w:cs="Times New Roman"/>
                <w:b w:val="0"/>
                <w:bCs w:val="0"/>
                <w:color w:val="auto"/>
                <w:lang w:val="en-US" w:eastAsia="zh-CN"/>
              </w:rPr>
              <w:t>、CO等；污染物排放时间及排放量相对较少，且项目周围无较高障碍物遮挡，大气扩散条件较好，对周围环境空气影响较小。</w:t>
            </w:r>
          </w:p>
          <w:p>
            <w:pPr>
              <w:pStyle w:val="49"/>
              <w:keepNext w:val="0"/>
              <w:keepLines w:val="0"/>
              <w:pageBreakBefore w:val="0"/>
              <w:widowControl w:val="0"/>
              <w:kinsoku/>
              <w:wordWrap/>
              <w:overflowPunct w:val="0"/>
              <w:topLinePunct w:val="0"/>
              <w:autoSpaceDE/>
              <w:autoSpaceDN/>
              <w:bidi w:val="0"/>
              <w:adjustRightInd w:val="0"/>
              <w:snapToGrid w:val="0"/>
              <w:spacing w:line="344" w:lineRule="auto"/>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（4）运输扬尘</w:t>
            </w:r>
          </w:p>
          <w:p>
            <w:pPr>
              <w:pStyle w:val="49"/>
              <w:keepNext w:val="0"/>
              <w:keepLines w:val="0"/>
              <w:pageBreakBefore w:val="0"/>
              <w:widowControl w:val="0"/>
              <w:kinsoku/>
              <w:wordWrap/>
              <w:overflowPunct w:val="0"/>
              <w:topLinePunct w:val="0"/>
              <w:autoSpaceDE/>
              <w:autoSpaceDN/>
              <w:bidi w:val="0"/>
              <w:adjustRightInd w:val="0"/>
              <w:snapToGrid w:val="0"/>
              <w:spacing w:line="344" w:lineRule="auto"/>
              <w:textAlignment w:val="auto"/>
              <w:rPr>
                <w:rFonts w:hint="default" w:ascii="Times New Roman" w:hAnsi="Times New Roman" w:cs="Times New Roman"/>
                <w:color w:val="auto"/>
              </w:rPr>
            </w:pPr>
            <w:r>
              <w:rPr>
                <w:rFonts w:hint="default" w:ascii="Times New Roman" w:hAnsi="Times New Roman" w:eastAsia="仿宋_GB2312" w:cs="Times New Roman"/>
                <w:b w:val="0"/>
                <w:bCs w:val="0"/>
                <w:color w:val="auto"/>
                <w:lang w:val="en-US" w:eastAsia="zh-CN"/>
              </w:rPr>
              <w:t>物料的运输过程中会产生道路扬尘，严格控制汽车的装载量，严禁超载，对于运输过程应使用篷布遮盖物料，避免物料沿途遗洒，减少运输二次扬尘对周围环境的影响。运输车辆将产生道路二次扬尘污染。根据类似施工现场汽车运输引起的扬尘现场监测结果，灰土运输车辆下风向50m处浓度为11.625mg/m</w:t>
            </w:r>
            <w:r>
              <w:rPr>
                <w:rFonts w:hint="default" w:ascii="Times New Roman" w:hAnsi="Times New Roman" w:eastAsia="仿宋_GB2312" w:cs="Times New Roman"/>
                <w:b w:val="0"/>
                <w:bCs w:val="0"/>
                <w:color w:val="auto"/>
                <w:vertAlign w:val="superscript"/>
                <w:lang w:val="en-US" w:eastAsia="zh-CN"/>
              </w:rPr>
              <w:t>3</w:t>
            </w:r>
            <w:r>
              <w:rPr>
                <w:rFonts w:hint="default" w:ascii="Times New Roman" w:hAnsi="Times New Roman" w:eastAsia="仿宋_GB2312" w:cs="Times New Roman"/>
                <w:b w:val="0"/>
                <w:bCs w:val="0"/>
                <w:color w:val="auto"/>
                <w:lang w:val="en-US" w:eastAsia="zh-CN"/>
              </w:rPr>
              <w:t>；下风向100m处为9.694mg/m</w:t>
            </w:r>
            <w:r>
              <w:rPr>
                <w:rFonts w:hint="default" w:ascii="Times New Roman" w:hAnsi="Times New Roman" w:eastAsia="仿宋_GB2312" w:cs="Times New Roman"/>
                <w:b w:val="0"/>
                <w:bCs w:val="0"/>
                <w:color w:val="auto"/>
                <w:vertAlign w:val="superscript"/>
                <w:lang w:val="en-US" w:eastAsia="zh-CN"/>
              </w:rPr>
              <w:t>3</w:t>
            </w:r>
            <w:r>
              <w:rPr>
                <w:rFonts w:hint="default" w:ascii="Times New Roman" w:hAnsi="Times New Roman" w:eastAsia="仿宋_GB2312" w:cs="Times New Roman"/>
                <w:b w:val="0"/>
                <w:bCs w:val="0"/>
                <w:color w:val="auto"/>
                <w:lang w:val="en-US" w:eastAsia="zh-CN"/>
              </w:rPr>
              <w:t>；下风向150m处浓度为5.093mg/m</w:t>
            </w:r>
            <w:r>
              <w:rPr>
                <w:rFonts w:hint="default" w:ascii="Times New Roman" w:hAnsi="Times New Roman" w:eastAsia="仿宋_GB2312" w:cs="Times New Roman"/>
                <w:b w:val="0"/>
                <w:bCs w:val="0"/>
                <w:color w:val="auto"/>
                <w:vertAlign w:val="superscript"/>
                <w:lang w:val="en-US" w:eastAsia="zh-CN"/>
              </w:rPr>
              <w:t>3</w:t>
            </w:r>
            <w:r>
              <w:rPr>
                <w:rFonts w:hint="default" w:ascii="Times New Roman" w:hAnsi="Times New Roman" w:eastAsia="仿宋_GB2312" w:cs="Times New Roman"/>
                <w:b w:val="0"/>
                <w:bCs w:val="0"/>
                <w:color w:val="auto"/>
                <w:lang w:val="en-US" w:eastAsia="zh-CN"/>
              </w:rPr>
              <w:t>，超过环境空气质量二级标准。抑制扬尘的一个简洁有效的措施是洒水。如果在施工期内对车辆行驶的路面实施洒水抑尘，每天洒水4-5次，可使扬尘减少70%左右，可有效地控制施工扬尘，并可将TSP污染距离缩小到20-50m范围</w:t>
            </w:r>
            <w:r>
              <w:rPr>
                <w:rFonts w:hint="default" w:ascii="Times New Roman" w:hAnsi="Times New Roman" w:cs="Times New Roman"/>
                <w:b w:val="0"/>
                <w:bCs w:val="0"/>
                <w:color w:val="auto"/>
              </w:rPr>
              <w:t>。</w:t>
            </w:r>
          </w:p>
          <w:p>
            <w:pPr>
              <w:pStyle w:val="49"/>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2.2 水环境影响分析</w:t>
            </w:r>
          </w:p>
          <w:p>
            <w:pPr>
              <w:pStyle w:val="49"/>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default" w:ascii="Times New Roman" w:hAnsi="Times New Roman" w:cs="Times New Roman"/>
                <w:b/>
                <w:bCs/>
                <w:color w:val="auto"/>
              </w:rPr>
            </w:pPr>
            <w:r>
              <w:rPr>
                <w:rFonts w:hint="default" w:ascii="Times New Roman" w:hAnsi="Times New Roman" w:cs="Times New Roman"/>
                <w:b/>
                <w:bCs/>
                <w:color w:val="auto"/>
                <w:lang w:val="en-US" w:eastAsia="zh-CN"/>
              </w:rPr>
              <w:t>2.2.1 地表水影响分析</w:t>
            </w:r>
          </w:p>
          <w:p>
            <w:pPr>
              <w:pStyle w:val="49"/>
              <w:keepNext w:val="0"/>
              <w:keepLines w:val="0"/>
              <w:pageBreakBefore w:val="0"/>
              <w:widowControl w:val="0"/>
              <w:kinsoku/>
              <w:wordWrap/>
              <w:overflowPunct w:val="0"/>
              <w:topLinePunct w:val="0"/>
              <w:autoSpaceDE/>
              <w:autoSpaceDN/>
              <w:bidi w:val="0"/>
              <w:adjustRightInd w:val="0"/>
              <w:snapToGrid w:val="0"/>
              <w:spacing w:line="336" w:lineRule="auto"/>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lang w:eastAsia="zh-CN"/>
              </w:rPr>
              <w:t>本工程施工期间产生的废水主要为施工过程产生的施工废水和施工人员的生活污水。</w:t>
            </w:r>
          </w:p>
          <w:p>
            <w:pPr>
              <w:pStyle w:val="49"/>
              <w:bidi w:val="0"/>
              <w:rPr>
                <w:rFonts w:hint="default" w:ascii="Times New Roman" w:hAnsi="Times New Roman" w:cs="Times New Roman"/>
                <w:color w:val="auto"/>
              </w:rPr>
            </w:pPr>
            <w:r>
              <w:rPr>
                <w:rFonts w:hint="default" w:ascii="Times New Roman" w:hAnsi="Times New Roman" w:cs="Times New Roman"/>
                <w:color w:val="auto"/>
              </w:rPr>
              <w:t>①施工生活污水：施工期生活污水产生量较少，废水中主要污染物为COD、BOD</w:t>
            </w:r>
            <w:r>
              <w:rPr>
                <w:rFonts w:hint="default" w:ascii="Times New Roman" w:hAnsi="Times New Roman" w:cs="Times New Roman"/>
                <w:color w:val="auto"/>
                <w:vertAlign w:val="subscript"/>
              </w:rPr>
              <w:t>5</w:t>
            </w:r>
            <w:r>
              <w:rPr>
                <w:rFonts w:hint="default" w:ascii="Times New Roman" w:hAnsi="Times New Roman" w:cs="Times New Roman"/>
                <w:color w:val="auto"/>
              </w:rPr>
              <w:t>、SS，生活污水主要为洗漱废水，用于施工场地洒水降尘，</w:t>
            </w:r>
            <w:r>
              <w:rPr>
                <w:rFonts w:hint="eastAsia" w:cs="Times New Roman"/>
                <w:color w:val="auto"/>
                <w:lang w:eastAsia="zh-CN"/>
              </w:rPr>
              <w:t>施工人员设置旱厕</w:t>
            </w:r>
            <w:r>
              <w:rPr>
                <w:rFonts w:hint="default" w:ascii="Times New Roman" w:hAnsi="Times New Roman" w:cs="Times New Roman"/>
                <w:color w:val="auto"/>
              </w:rPr>
              <w:t>如厕，</w:t>
            </w:r>
            <w:r>
              <w:rPr>
                <w:rFonts w:hint="eastAsia" w:cs="Times New Roman"/>
                <w:color w:val="auto"/>
                <w:lang w:eastAsia="zh-CN"/>
              </w:rPr>
              <w:t>粪便</w:t>
            </w:r>
            <w:r>
              <w:rPr>
                <w:rFonts w:hint="default" w:ascii="Times New Roman" w:hAnsi="Times New Roman" w:cs="Times New Roman"/>
                <w:color w:val="auto"/>
                <w:lang w:val="en-US" w:eastAsia="zh-CN"/>
              </w:rPr>
              <w:t>及时清运</w:t>
            </w:r>
            <w:r>
              <w:rPr>
                <w:rFonts w:hint="default" w:ascii="Times New Roman" w:hAnsi="Times New Roman" w:cs="Times New Roman"/>
                <w:color w:val="auto"/>
              </w:rPr>
              <w:t>，对水环境影响较小。</w:t>
            </w:r>
          </w:p>
          <w:p>
            <w:pPr>
              <w:pStyle w:val="49"/>
              <w:bidi w:val="0"/>
              <w:rPr>
                <w:rFonts w:hint="default" w:ascii="Times New Roman" w:hAnsi="Times New Roman" w:cs="Times New Roman"/>
                <w:color w:val="auto"/>
              </w:rPr>
            </w:pPr>
            <w:r>
              <w:rPr>
                <w:rFonts w:hint="default" w:ascii="Times New Roman" w:hAnsi="Times New Roman" w:cs="Times New Roman"/>
                <w:color w:val="auto"/>
              </w:rPr>
              <w:t>②施工机械冲洗废水：</w:t>
            </w:r>
            <w:r>
              <w:rPr>
                <w:rFonts w:hint="default" w:ascii="Times New Roman" w:hAnsi="Times New Roman" w:cs="Times New Roman"/>
                <w:color w:val="auto"/>
                <w:lang w:val="en-US" w:eastAsia="zh-CN"/>
              </w:rPr>
              <w:t>施工场地</w:t>
            </w:r>
            <w:r>
              <w:rPr>
                <w:rFonts w:hint="default" w:ascii="Times New Roman" w:hAnsi="Times New Roman" w:cs="Times New Roman"/>
                <w:color w:val="auto"/>
              </w:rPr>
              <w:t>出口洗车平台</w:t>
            </w:r>
            <w:r>
              <w:rPr>
                <w:rFonts w:hint="default" w:ascii="Times New Roman" w:hAnsi="Times New Roman" w:cs="Times New Roman"/>
                <w:color w:val="auto"/>
                <w:lang w:val="en-US" w:eastAsia="zh-CN"/>
              </w:rPr>
              <w:t>配备沉淀池</w:t>
            </w:r>
            <w:r>
              <w:rPr>
                <w:rFonts w:hint="default" w:ascii="Times New Roman" w:hAnsi="Times New Roman" w:cs="Times New Roman"/>
                <w:color w:val="auto"/>
              </w:rPr>
              <w:t>，清洗轮胎</w:t>
            </w:r>
            <w:r>
              <w:rPr>
                <w:rFonts w:hint="default" w:ascii="Times New Roman" w:hAnsi="Times New Roman" w:cs="Times New Roman"/>
                <w:color w:val="auto"/>
                <w:lang w:val="en-US" w:eastAsia="zh-CN"/>
              </w:rPr>
              <w:t>废水经</w:t>
            </w:r>
            <w:r>
              <w:rPr>
                <w:rFonts w:hint="default" w:ascii="Times New Roman" w:hAnsi="Times New Roman" w:cs="Times New Roman"/>
                <w:color w:val="auto"/>
              </w:rPr>
              <w:t>沉淀池</w:t>
            </w:r>
            <w:r>
              <w:rPr>
                <w:rFonts w:hint="default" w:ascii="Times New Roman" w:hAnsi="Times New Roman" w:cs="Times New Roman"/>
                <w:color w:val="auto"/>
                <w:lang w:val="en-US" w:eastAsia="zh-CN"/>
              </w:rPr>
              <w:t>沉淀后</w:t>
            </w:r>
            <w:r>
              <w:rPr>
                <w:rFonts w:hint="default" w:ascii="Times New Roman" w:hAnsi="Times New Roman" w:cs="Times New Roman"/>
                <w:color w:val="auto"/>
              </w:rPr>
              <w:t>回用</w:t>
            </w:r>
            <w:r>
              <w:rPr>
                <w:rFonts w:hint="default" w:ascii="Times New Roman" w:hAnsi="Times New Roman" w:cs="Times New Roman"/>
                <w:color w:val="auto"/>
                <w:lang w:val="en-US" w:eastAsia="zh-CN"/>
              </w:rPr>
              <w:t>或用于</w:t>
            </w:r>
            <w:r>
              <w:rPr>
                <w:rFonts w:hint="default" w:ascii="Times New Roman" w:hAnsi="Times New Roman" w:cs="Times New Roman"/>
                <w:color w:val="auto"/>
              </w:rPr>
              <w:t>洒水降尘，无废水排放，不会对水环境产生影响。</w:t>
            </w:r>
          </w:p>
          <w:p>
            <w:pPr>
              <w:pStyle w:val="49"/>
              <w:bidi w:val="0"/>
              <w:rPr>
                <w:rFonts w:hint="default" w:ascii="Times New Roman" w:hAnsi="Times New Roman" w:cs="Times New Roman"/>
                <w:b/>
                <w:bCs/>
                <w:color w:val="auto"/>
              </w:rPr>
            </w:pPr>
            <w:r>
              <w:rPr>
                <w:rFonts w:hint="default" w:ascii="Times New Roman" w:hAnsi="Times New Roman" w:cs="Times New Roman"/>
                <w:b/>
                <w:bCs/>
                <w:color w:val="auto"/>
                <w:lang w:val="en-US" w:eastAsia="zh-CN"/>
              </w:rPr>
              <w:t>2.2.3地下水影响分析</w:t>
            </w:r>
          </w:p>
          <w:p>
            <w:pPr>
              <w:pStyle w:val="49"/>
              <w:bidi w:val="0"/>
              <w:rPr>
                <w:rFonts w:hint="default" w:ascii="Times New Roman" w:hAnsi="Times New Roman" w:cs="Times New Roman"/>
                <w:color w:val="auto"/>
              </w:rPr>
            </w:pPr>
            <w:r>
              <w:rPr>
                <w:rFonts w:hint="default" w:ascii="Times New Roman" w:hAnsi="Times New Roman" w:cs="Times New Roman"/>
                <w:color w:val="auto"/>
                <w:lang w:val="en-US" w:eastAsia="zh-CN"/>
              </w:rPr>
              <w:t>本项目</w:t>
            </w:r>
            <w:r>
              <w:rPr>
                <w:rFonts w:hint="eastAsia" w:cs="Times New Roman"/>
                <w:color w:val="auto"/>
                <w:lang w:val="en-US" w:eastAsia="zh-CN"/>
              </w:rPr>
              <w:t>建成后为风电场</w:t>
            </w:r>
            <w:r>
              <w:rPr>
                <w:rFonts w:hint="default" w:ascii="Times New Roman" w:hAnsi="Times New Roman" w:cs="Times New Roman"/>
                <w:color w:val="auto"/>
                <w:lang w:val="en-US" w:eastAsia="zh-CN"/>
              </w:rPr>
              <w:t>运行</w:t>
            </w:r>
            <w:r>
              <w:rPr>
                <w:rFonts w:hint="eastAsia" w:cs="Times New Roman"/>
                <w:color w:val="auto"/>
                <w:lang w:val="en-US" w:eastAsia="zh-CN"/>
              </w:rPr>
              <w:t>，</w:t>
            </w:r>
            <w:r>
              <w:rPr>
                <w:rFonts w:hint="default" w:ascii="Times New Roman" w:hAnsi="Times New Roman" w:cs="Times New Roman"/>
                <w:color w:val="auto"/>
                <w:lang w:val="en-US" w:eastAsia="zh-CN"/>
              </w:rPr>
              <w:t>不会改变区域地下水资源利用状况，不对地下水径流流场产生影响；事故油池严格按照《危险废物贮存污染控制标准》（GB18597-2023）要求进行建设及管理，事故油池做基础防渗，防渗层为至少1m厚的粘土层（渗透系数不大于1.0×10</w:t>
            </w:r>
            <w:r>
              <w:rPr>
                <w:rFonts w:hint="default" w:ascii="Times New Roman" w:hAnsi="Times New Roman" w:cs="Times New Roman"/>
                <w:color w:val="auto"/>
                <w:vertAlign w:val="superscript"/>
                <w:lang w:val="en-US" w:eastAsia="zh-CN"/>
              </w:rPr>
              <w:t>-7</w:t>
            </w:r>
            <w:r>
              <w:rPr>
                <w:rFonts w:hint="default" w:ascii="Times New Roman" w:hAnsi="Times New Roman" w:cs="Times New Roman"/>
                <w:color w:val="auto"/>
                <w:lang w:val="en-US" w:eastAsia="zh-CN"/>
              </w:rPr>
              <w:t>cm/s），或至少2mm厚高密度聚乙烯等人工防渗材料（渗透系数不大于1.0×10</w:t>
            </w:r>
            <w:r>
              <w:rPr>
                <w:rFonts w:hint="default" w:ascii="Times New Roman" w:hAnsi="Times New Roman" w:cs="Times New Roman"/>
                <w:color w:val="auto"/>
                <w:vertAlign w:val="superscript"/>
                <w:lang w:val="en-US" w:eastAsia="zh-CN"/>
              </w:rPr>
              <w:t>-10</w:t>
            </w:r>
            <w:r>
              <w:rPr>
                <w:rFonts w:hint="default" w:ascii="Times New Roman" w:hAnsi="Times New Roman" w:cs="Times New Roman"/>
                <w:color w:val="auto"/>
                <w:lang w:val="en-US" w:eastAsia="zh-CN"/>
              </w:rPr>
              <w:t>cm/s），或其他防渗性能等效的材料。项目评价范围内无水源地保护区、农村集中供水工程等分布。施工营地施工废水及生活污水得到妥善处置。因此，项目的实施不会对区域地下水环境产生不利影响。</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2.3 声环境影响分析</w:t>
            </w:r>
          </w:p>
          <w:p>
            <w:pPr>
              <w:snapToGrid w:val="0"/>
              <w:spacing w:line="360" w:lineRule="auto"/>
              <w:ind w:firstLine="480" w:firstLineChars="20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施工期主要噪声源为载重汽车、推土机</w:t>
            </w:r>
            <w:r>
              <w:rPr>
                <w:rFonts w:hint="eastAsia" w:eastAsia="仿宋_GB2312" w:cs="Times New Roman"/>
                <w:bCs/>
                <w:color w:val="auto"/>
                <w:sz w:val="24"/>
                <w:szCs w:val="24"/>
                <w:lang w:eastAsia="zh-CN"/>
              </w:rPr>
              <w:t>、挖掘机</w:t>
            </w:r>
            <w:r>
              <w:rPr>
                <w:rFonts w:hint="default" w:ascii="Times New Roman" w:hAnsi="Times New Roman" w:eastAsia="仿宋_GB2312" w:cs="Times New Roman"/>
                <w:bCs/>
                <w:color w:val="auto"/>
                <w:sz w:val="24"/>
                <w:szCs w:val="24"/>
              </w:rPr>
              <w:t>等，声值在</w:t>
            </w:r>
            <w:r>
              <w:rPr>
                <w:rFonts w:hint="eastAsia" w:ascii="Times New Roman" w:hAnsi="Times New Roman" w:eastAsia="仿宋_GB2312" w:cs="Times New Roman"/>
                <w:bCs/>
                <w:color w:val="auto"/>
                <w:sz w:val="24"/>
                <w:szCs w:val="24"/>
                <w:lang w:val="en-US" w:eastAsia="zh-CN"/>
              </w:rPr>
              <w:t>70</w:t>
            </w:r>
            <w:r>
              <w:rPr>
                <w:rFonts w:hint="default" w:ascii="Times New Roman" w:hAnsi="Times New Roman" w:eastAsia="仿宋_GB2312" w:cs="Times New Roman"/>
                <w:bCs/>
                <w:color w:val="auto"/>
                <w:sz w:val="24"/>
                <w:szCs w:val="24"/>
              </w:rPr>
              <w:t>～</w:t>
            </w:r>
            <w:r>
              <w:rPr>
                <w:rFonts w:hint="eastAsia" w:ascii="Times New Roman" w:hAnsi="Times New Roman" w:eastAsia="仿宋_GB2312" w:cs="Times New Roman"/>
                <w:bCs/>
                <w:color w:val="auto"/>
                <w:sz w:val="24"/>
                <w:szCs w:val="24"/>
                <w:lang w:val="en-US" w:eastAsia="zh-CN"/>
              </w:rPr>
              <w:t>85</w:t>
            </w:r>
            <w:r>
              <w:rPr>
                <w:rFonts w:hint="default" w:ascii="Times New Roman" w:hAnsi="Times New Roman" w:eastAsia="仿宋_GB2312" w:cs="Times New Roman"/>
                <w:bCs/>
                <w:color w:val="auto"/>
                <w:sz w:val="24"/>
                <w:szCs w:val="24"/>
              </w:rPr>
              <w:t>dB</w:t>
            </w:r>
            <w:r>
              <w:rPr>
                <w:rFonts w:hint="eastAsia" w:eastAsia="仿宋_GB2312" w:cs="Times New Roman"/>
                <w:bCs/>
                <w:color w:val="auto"/>
                <w:sz w:val="24"/>
                <w:szCs w:val="24"/>
                <w:lang w:val="en-US" w:eastAsia="zh-CN"/>
              </w:rPr>
              <w:t>(A)</w:t>
            </w:r>
            <w:r>
              <w:rPr>
                <w:rFonts w:hint="default" w:ascii="Times New Roman" w:hAnsi="Times New Roman" w:eastAsia="仿宋_GB2312" w:cs="Times New Roman"/>
                <w:bCs/>
                <w:color w:val="auto"/>
                <w:sz w:val="24"/>
                <w:szCs w:val="24"/>
              </w:rPr>
              <w:t>之间。由于机械设备种类多，噪声值高，施工的露天特征且难以采取吸声、隔声等措施控制其对环境的影响，易对施工现场附近造成较大的影响。</w:t>
            </w:r>
          </w:p>
          <w:p>
            <w:pPr>
              <w:snapToGrid w:val="0"/>
              <w:spacing w:line="360" w:lineRule="auto"/>
              <w:ind w:firstLine="480" w:firstLineChars="20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根据有关环境监测站多年对各类建筑施工工地场界外5m噪声监测结果统计，一般情况声级为</w:t>
            </w:r>
            <w:r>
              <w:rPr>
                <w:rFonts w:hint="eastAsia" w:ascii="Times New Roman" w:hAnsi="Times New Roman" w:eastAsia="仿宋_GB2312" w:cs="Times New Roman"/>
                <w:bCs/>
                <w:color w:val="auto"/>
                <w:sz w:val="24"/>
                <w:szCs w:val="24"/>
                <w:lang w:val="en-US" w:eastAsia="zh-CN"/>
              </w:rPr>
              <w:t>80</w:t>
            </w:r>
            <w:r>
              <w:rPr>
                <w:rFonts w:hint="default" w:ascii="Times New Roman" w:hAnsi="Times New Roman" w:eastAsia="仿宋_GB2312" w:cs="Times New Roman"/>
                <w:bCs/>
                <w:color w:val="auto"/>
                <w:sz w:val="24"/>
                <w:szCs w:val="24"/>
              </w:rPr>
              <w:t>dB</w:t>
            </w:r>
            <w:r>
              <w:rPr>
                <w:rFonts w:hint="eastAsia" w:eastAsia="仿宋_GB2312" w:cs="Times New Roman"/>
                <w:bCs/>
                <w:color w:val="auto"/>
                <w:sz w:val="24"/>
                <w:szCs w:val="24"/>
                <w:lang w:val="en-US" w:eastAsia="zh-CN"/>
              </w:rPr>
              <w:t>(A)</w:t>
            </w:r>
            <w:r>
              <w:rPr>
                <w:rFonts w:hint="default" w:ascii="Times New Roman" w:hAnsi="Times New Roman" w:eastAsia="仿宋_GB2312" w:cs="Times New Roman"/>
                <w:bCs/>
                <w:color w:val="auto"/>
                <w:sz w:val="24"/>
                <w:szCs w:val="24"/>
              </w:rPr>
              <w:t>。为了反映施工噪声对环境的影响，利用距离传播衰减模式预测分析施工机械噪声的影响范围、程度，预测时不考虑障碍物如场界围墙、树木等造成的噪声衰减量。</w:t>
            </w:r>
          </w:p>
          <w:p>
            <w:pPr>
              <w:snapToGrid w:val="0"/>
              <w:spacing w:line="360" w:lineRule="auto"/>
              <w:ind w:firstLine="480" w:firstLineChars="20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距离传播衰减模式：</w:t>
            </w:r>
          </w:p>
          <w:p>
            <w:pPr>
              <w:snapToGrid w:val="0"/>
              <w:spacing w:line="360" w:lineRule="auto"/>
              <w:ind w:firstLine="1200" w:firstLineChars="50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L</w:t>
            </w:r>
            <w:r>
              <w:rPr>
                <w:rFonts w:hint="default" w:ascii="Times New Roman" w:hAnsi="Times New Roman" w:eastAsia="仿宋_GB2312" w:cs="Times New Roman"/>
                <w:bCs/>
                <w:color w:val="auto"/>
                <w:sz w:val="24"/>
                <w:szCs w:val="24"/>
                <w:vertAlign w:val="subscript"/>
              </w:rPr>
              <w:t>p2</w:t>
            </w:r>
            <w:r>
              <w:rPr>
                <w:rFonts w:hint="default" w:ascii="Times New Roman" w:hAnsi="Times New Roman" w:eastAsia="仿宋_GB2312" w:cs="Times New Roman"/>
                <w:bCs/>
                <w:color w:val="auto"/>
                <w:sz w:val="24"/>
                <w:szCs w:val="24"/>
              </w:rPr>
              <w:t>=L</w:t>
            </w:r>
            <w:r>
              <w:rPr>
                <w:rFonts w:hint="default" w:ascii="Times New Roman" w:hAnsi="Times New Roman" w:eastAsia="仿宋_GB2312" w:cs="Times New Roman"/>
                <w:bCs/>
                <w:color w:val="auto"/>
                <w:sz w:val="24"/>
                <w:szCs w:val="24"/>
                <w:vertAlign w:val="subscript"/>
              </w:rPr>
              <w:t>p1</w:t>
            </w:r>
            <w:r>
              <w:rPr>
                <w:rFonts w:hint="default" w:ascii="Times New Roman" w:hAnsi="Times New Roman" w:eastAsia="仿宋_GB2312" w:cs="Times New Roman"/>
                <w:bCs/>
                <w:color w:val="auto"/>
                <w:sz w:val="24"/>
                <w:szCs w:val="24"/>
              </w:rPr>
              <w:t>－20lg(r</w:t>
            </w:r>
            <w:r>
              <w:rPr>
                <w:rFonts w:hint="default" w:ascii="Times New Roman" w:hAnsi="Times New Roman" w:eastAsia="仿宋_GB2312" w:cs="Times New Roman"/>
                <w:bCs/>
                <w:color w:val="auto"/>
                <w:sz w:val="24"/>
                <w:szCs w:val="24"/>
                <w:vertAlign w:val="subscript"/>
              </w:rPr>
              <w:t>2</w:t>
            </w:r>
            <w:r>
              <w:rPr>
                <w:rFonts w:hint="default" w:ascii="Times New Roman" w:hAnsi="Times New Roman" w:eastAsia="仿宋_GB2312" w:cs="Times New Roman"/>
                <w:bCs/>
                <w:color w:val="auto"/>
                <w:sz w:val="24"/>
                <w:szCs w:val="24"/>
              </w:rPr>
              <w:t>/r</w:t>
            </w:r>
            <w:r>
              <w:rPr>
                <w:rFonts w:hint="default" w:ascii="Times New Roman" w:hAnsi="Times New Roman" w:eastAsia="仿宋_GB2312" w:cs="Times New Roman"/>
                <w:bCs/>
                <w:color w:val="auto"/>
                <w:sz w:val="24"/>
                <w:szCs w:val="24"/>
                <w:vertAlign w:val="subscript"/>
              </w:rPr>
              <w:t>1</w:t>
            </w:r>
            <w:r>
              <w:rPr>
                <w:rFonts w:hint="default" w:ascii="Times New Roman" w:hAnsi="Times New Roman" w:eastAsia="仿宋_GB2312" w:cs="Times New Roman"/>
                <w:bCs/>
                <w:color w:val="auto"/>
                <w:sz w:val="24"/>
                <w:szCs w:val="24"/>
              </w:rPr>
              <w:t>)</w:t>
            </w:r>
          </w:p>
          <w:p>
            <w:pPr>
              <w:snapToGrid w:val="0"/>
              <w:spacing w:line="360" w:lineRule="auto"/>
              <w:ind w:firstLine="480" w:firstLineChars="20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式中：L</w:t>
            </w:r>
            <w:r>
              <w:rPr>
                <w:rFonts w:hint="default" w:ascii="Times New Roman" w:hAnsi="Times New Roman" w:eastAsia="仿宋_GB2312" w:cs="Times New Roman"/>
                <w:bCs/>
                <w:color w:val="auto"/>
                <w:sz w:val="24"/>
                <w:szCs w:val="24"/>
                <w:vertAlign w:val="subscript"/>
              </w:rPr>
              <w:t>p1</w:t>
            </w:r>
            <w:r>
              <w:rPr>
                <w:rFonts w:hint="default" w:ascii="Times New Roman" w:hAnsi="Times New Roman" w:eastAsia="仿宋_GB2312" w:cs="Times New Roman"/>
                <w:bCs/>
                <w:color w:val="auto"/>
                <w:sz w:val="24"/>
                <w:szCs w:val="24"/>
              </w:rPr>
              <w:t>—受声点P</w:t>
            </w:r>
            <w:r>
              <w:rPr>
                <w:rFonts w:hint="default" w:ascii="Times New Roman" w:hAnsi="Times New Roman" w:eastAsia="仿宋_GB2312" w:cs="Times New Roman"/>
                <w:bCs/>
                <w:color w:val="auto"/>
                <w:sz w:val="24"/>
                <w:szCs w:val="24"/>
                <w:vertAlign w:val="subscript"/>
              </w:rPr>
              <w:t>1</w:t>
            </w:r>
            <w:r>
              <w:rPr>
                <w:rFonts w:hint="default" w:ascii="Times New Roman" w:hAnsi="Times New Roman" w:eastAsia="仿宋_GB2312" w:cs="Times New Roman"/>
                <w:bCs/>
                <w:color w:val="auto"/>
                <w:sz w:val="24"/>
                <w:szCs w:val="24"/>
              </w:rPr>
              <w:t>处的声级；</w:t>
            </w:r>
          </w:p>
          <w:p>
            <w:pPr>
              <w:snapToGrid w:val="0"/>
              <w:spacing w:line="360" w:lineRule="auto"/>
              <w:ind w:firstLine="1200" w:firstLineChars="50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L</w:t>
            </w:r>
            <w:r>
              <w:rPr>
                <w:rFonts w:hint="default" w:ascii="Times New Roman" w:hAnsi="Times New Roman" w:eastAsia="仿宋_GB2312" w:cs="Times New Roman"/>
                <w:bCs/>
                <w:color w:val="auto"/>
                <w:sz w:val="24"/>
                <w:szCs w:val="24"/>
                <w:vertAlign w:val="subscript"/>
              </w:rPr>
              <w:t>p2</w:t>
            </w:r>
            <w:r>
              <w:rPr>
                <w:rFonts w:hint="default" w:ascii="Times New Roman" w:hAnsi="Times New Roman" w:eastAsia="仿宋_GB2312" w:cs="Times New Roman"/>
                <w:bCs/>
                <w:color w:val="auto"/>
                <w:sz w:val="24"/>
                <w:szCs w:val="24"/>
              </w:rPr>
              <w:t>—受声点P</w:t>
            </w:r>
            <w:r>
              <w:rPr>
                <w:rFonts w:hint="default" w:ascii="Times New Roman" w:hAnsi="Times New Roman" w:eastAsia="仿宋_GB2312" w:cs="Times New Roman"/>
                <w:bCs/>
                <w:color w:val="auto"/>
                <w:sz w:val="24"/>
                <w:szCs w:val="24"/>
                <w:vertAlign w:val="subscript"/>
              </w:rPr>
              <w:t>2</w:t>
            </w:r>
            <w:r>
              <w:rPr>
                <w:rFonts w:hint="default" w:ascii="Times New Roman" w:hAnsi="Times New Roman" w:eastAsia="仿宋_GB2312" w:cs="Times New Roman"/>
                <w:bCs/>
                <w:color w:val="auto"/>
                <w:sz w:val="24"/>
                <w:szCs w:val="24"/>
              </w:rPr>
              <w:t>处的声级；</w:t>
            </w:r>
          </w:p>
          <w:p>
            <w:pPr>
              <w:snapToGrid w:val="0"/>
              <w:spacing w:line="360" w:lineRule="auto"/>
              <w:ind w:firstLine="1200" w:firstLineChars="50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r</w:t>
            </w:r>
            <w:r>
              <w:rPr>
                <w:rFonts w:hint="default" w:ascii="Times New Roman" w:hAnsi="Times New Roman" w:eastAsia="仿宋_GB2312" w:cs="Times New Roman"/>
                <w:bCs/>
                <w:color w:val="auto"/>
                <w:sz w:val="24"/>
                <w:szCs w:val="24"/>
                <w:vertAlign w:val="subscript"/>
              </w:rPr>
              <w:t>1</w:t>
            </w:r>
            <w:r>
              <w:rPr>
                <w:rFonts w:hint="default" w:ascii="Times New Roman" w:hAnsi="Times New Roman" w:eastAsia="仿宋_GB2312" w:cs="Times New Roman"/>
                <w:bCs/>
                <w:color w:val="auto"/>
                <w:sz w:val="24"/>
                <w:szCs w:val="24"/>
              </w:rPr>
              <w:t>—声源至P</w:t>
            </w:r>
            <w:r>
              <w:rPr>
                <w:rFonts w:hint="default" w:ascii="Times New Roman" w:hAnsi="Times New Roman" w:eastAsia="仿宋_GB2312" w:cs="Times New Roman"/>
                <w:bCs/>
                <w:color w:val="auto"/>
                <w:sz w:val="24"/>
                <w:szCs w:val="24"/>
                <w:vertAlign w:val="subscript"/>
              </w:rPr>
              <w:t>1</w:t>
            </w:r>
            <w:r>
              <w:rPr>
                <w:rFonts w:hint="default" w:ascii="Times New Roman" w:hAnsi="Times New Roman" w:eastAsia="仿宋_GB2312" w:cs="Times New Roman"/>
                <w:bCs/>
                <w:color w:val="auto"/>
                <w:sz w:val="24"/>
                <w:szCs w:val="24"/>
              </w:rPr>
              <w:t>的距离（m）；</w:t>
            </w:r>
          </w:p>
          <w:p>
            <w:pPr>
              <w:snapToGrid w:val="0"/>
              <w:spacing w:line="360" w:lineRule="auto"/>
              <w:ind w:firstLine="1200" w:firstLineChars="50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r</w:t>
            </w:r>
            <w:r>
              <w:rPr>
                <w:rFonts w:hint="default" w:ascii="Times New Roman" w:hAnsi="Times New Roman" w:eastAsia="仿宋_GB2312" w:cs="Times New Roman"/>
                <w:bCs/>
                <w:color w:val="auto"/>
                <w:sz w:val="24"/>
                <w:szCs w:val="24"/>
                <w:vertAlign w:val="subscript"/>
              </w:rPr>
              <w:t>2</w:t>
            </w:r>
            <w:r>
              <w:rPr>
                <w:rFonts w:hint="default" w:ascii="Times New Roman" w:hAnsi="Times New Roman" w:eastAsia="仿宋_GB2312" w:cs="Times New Roman"/>
                <w:bCs/>
                <w:color w:val="auto"/>
                <w:sz w:val="24"/>
                <w:szCs w:val="24"/>
              </w:rPr>
              <w:t>—声源至P</w:t>
            </w:r>
            <w:r>
              <w:rPr>
                <w:rFonts w:hint="default" w:ascii="Times New Roman" w:hAnsi="Times New Roman" w:eastAsia="仿宋_GB2312" w:cs="Times New Roman"/>
                <w:bCs/>
                <w:color w:val="auto"/>
                <w:sz w:val="24"/>
                <w:szCs w:val="24"/>
                <w:vertAlign w:val="subscript"/>
              </w:rPr>
              <w:t>2</w:t>
            </w:r>
            <w:r>
              <w:rPr>
                <w:rFonts w:hint="default" w:ascii="Times New Roman" w:hAnsi="Times New Roman" w:eastAsia="仿宋_GB2312" w:cs="Times New Roman"/>
                <w:bCs/>
                <w:color w:val="auto"/>
                <w:sz w:val="24"/>
                <w:szCs w:val="24"/>
              </w:rPr>
              <w:t>的距离（m）。</w:t>
            </w:r>
          </w:p>
          <w:p>
            <w:pPr>
              <w:snapToGrid w:val="0"/>
              <w:spacing w:line="360" w:lineRule="auto"/>
              <w:ind w:firstLine="480" w:firstLineChars="20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利用距离传播衰减模式预测施工场区周围噪声等值线分布情况（不考虑任何隔声措施），结果见表</w:t>
            </w:r>
            <w:r>
              <w:rPr>
                <w:rFonts w:hint="eastAsia" w:eastAsia="仿宋_GB2312" w:cs="Times New Roman"/>
                <w:bCs/>
                <w:color w:val="auto"/>
                <w:sz w:val="24"/>
                <w:szCs w:val="24"/>
                <w:lang w:val="en-US" w:eastAsia="zh-CN"/>
              </w:rPr>
              <w:t>24</w:t>
            </w:r>
            <w:r>
              <w:rPr>
                <w:rFonts w:hint="default" w:ascii="Times New Roman" w:hAnsi="Times New Roman" w:eastAsia="仿宋_GB2312" w:cs="Times New Roman"/>
                <w:bCs/>
                <w:color w:val="auto"/>
                <w:sz w:val="24"/>
                <w:szCs w:val="24"/>
              </w:rPr>
              <w:t>。</w:t>
            </w:r>
          </w:p>
          <w:p>
            <w:pPr>
              <w:pStyle w:val="101"/>
              <w:keepNext w:val="0"/>
              <w:keepLines w:val="0"/>
              <w:pageBreakBefore w:val="0"/>
              <w:widowControl w:val="0"/>
              <w:kinsoku/>
              <w:wordWrap/>
              <w:overflowPunct/>
              <w:topLinePunct w:val="0"/>
              <w:autoSpaceDE/>
              <w:autoSpaceDN/>
              <w:bidi w:val="0"/>
              <w:adjustRightInd/>
              <w:snapToGrid/>
              <w:spacing w:before="157" w:beforeLines="50"/>
              <w:ind w:firstLine="482" w:firstLineChars="200"/>
              <w:jc w:val="both"/>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表24                施工噪声影响预测结果          单位：dB(A)</w:t>
            </w:r>
          </w:p>
          <w:tbl>
            <w:tblPr>
              <w:tblStyle w:val="28"/>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589"/>
              <w:gridCol w:w="682"/>
              <w:gridCol w:w="684"/>
              <w:gridCol w:w="682"/>
              <w:gridCol w:w="682"/>
              <w:gridCol w:w="684"/>
              <w:gridCol w:w="682"/>
              <w:gridCol w:w="682"/>
              <w:gridCol w:w="685"/>
              <w:gridCol w:w="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8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距离(m)</w:t>
                  </w:r>
                </w:p>
              </w:tc>
              <w:tc>
                <w:tcPr>
                  <w:tcW w:w="424"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491"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492"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20</w:t>
                  </w:r>
                </w:p>
              </w:tc>
              <w:tc>
                <w:tcPr>
                  <w:tcW w:w="491"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30</w:t>
                  </w:r>
                </w:p>
              </w:tc>
              <w:tc>
                <w:tcPr>
                  <w:tcW w:w="491"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40</w:t>
                  </w:r>
                </w:p>
              </w:tc>
              <w:tc>
                <w:tcPr>
                  <w:tcW w:w="492"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50</w:t>
                  </w:r>
                </w:p>
              </w:tc>
              <w:tc>
                <w:tcPr>
                  <w:tcW w:w="491"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80</w:t>
                  </w:r>
                </w:p>
              </w:tc>
              <w:tc>
                <w:tcPr>
                  <w:tcW w:w="491"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100</w:t>
                  </w:r>
                </w:p>
              </w:tc>
              <w:tc>
                <w:tcPr>
                  <w:tcW w:w="492"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150</w:t>
                  </w:r>
                </w:p>
              </w:tc>
              <w:tc>
                <w:tcPr>
                  <w:tcW w:w="576"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983" w:type="dxa"/>
                  <w:noWrap w:val="0"/>
                  <w:vAlign w:val="center"/>
                </w:tcPr>
                <w:p>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一般情况</w:t>
                  </w:r>
                </w:p>
              </w:tc>
              <w:tc>
                <w:tcPr>
                  <w:tcW w:w="424"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66</w:t>
                  </w:r>
                </w:p>
              </w:tc>
              <w:tc>
                <w:tcPr>
                  <w:tcW w:w="491"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60</w:t>
                  </w:r>
                </w:p>
              </w:tc>
              <w:tc>
                <w:tcPr>
                  <w:tcW w:w="492"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53</w:t>
                  </w:r>
                </w:p>
              </w:tc>
              <w:tc>
                <w:tcPr>
                  <w:tcW w:w="491"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50</w:t>
                  </w:r>
                </w:p>
              </w:tc>
              <w:tc>
                <w:tcPr>
                  <w:tcW w:w="491"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48</w:t>
                  </w:r>
                </w:p>
              </w:tc>
              <w:tc>
                <w:tcPr>
                  <w:tcW w:w="492"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46</w:t>
                  </w:r>
                </w:p>
              </w:tc>
              <w:tc>
                <w:tcPr>
                  <w:tcW w:w="491"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41</w:t>
                  </w:r>
                </w:p>
              </w:tc>
              <w:tc>
                <w:tcPr>
                  <w:tcW w:w="491"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40</w:t>
                  </w:r>
                </w:p>
              </w:tc>
              <w:tc>
                <w:tcPr>
                  <w:tcW w:w="492"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36</w:t>
                  </w:r>
                </w:p>
              </w:tc>
              <w:tc>
                <w:tcPr>
                  <w:tcW w:w="576" w:type="dxa"/>
                  <w:noWrap w:val="0"/>
                  <w:vAlign w:val="center"/>
                </w:tcPr>
                <w:p>
                  <w:pPr>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33</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由</w:t>
            </w:r>
            <w:r>
              <w:rPr>
                <w:rFonts w:hint="eastAsia" w:ascii="Times New Roman" w:hAnsi="Times New Roman" w:eastAsia="仿宋_GB2312" w:cs="Times New Roman"/>
                <w:bCs/>
                <w:color w:val="auto"/>
                <w:sz w:val="24"/>
                <w:szCs w:val="24"/>
                <w:lang w:eastAsia="zh-CN"/>
              </w:rPr>
              <w:t>上</w:t>
            </w:r>
            <w:r>
              <w:rPr>
                <w:rFonts w:hint="eastAsia" w:ascii="Times New Roman" w:hAnsi="Times New Roman" w:eastAsia="仿宋_GB2312" w:cs="Times New Roman"/>
                <w:bCs/>
                <w:color w:val="auto"/>
                <w:sz w:val="24"/>
                <w:szCs w:val="24"/>
              </w:rPr>
              <w:t>表可知：</w:t>
            </w:r>
            <w:r>
              <w:rPr>
                <w:rFonts w:hint="eastAsia" w:eastAsia="仿宋_GB2312" w:cs="Times New Roman"/>
                <w:bCs/>
                <w:color w:val="auto"/>
                <w:sz w:val="24"/>
                <w:szCs w:val="24"/>
                <w:lang w:eastAsia="zh-CN"/>
              </w:rPr>
              <w:t>根据</w:t>
            </w:r>
            <w:r>
              <w:rPr>
                <w:rFonts w:hint="eastAsia" w:ascii="Times New Roman" w:hAnsi="Times New Roman" w:eastAsia="仿宋_GB2312" w:cs="Times New Roman"/>
                <w:bCs/>
                <w:color w:val="auto"/>
                <w:sz w:val="24"/>
                <w:szCs w:val="24"/>
                <w:lang w:val="en-US" w:eastAsia="zh-CN"/>
              </w:rPr>
              <w:t>《建筑施工场界环境噪声排放标准》（GB12523-2011）排放限值（昼间：70dB，夜间：55dB）</w:t>
            </w:r>
            <w:r>
              <w:rPr>
                <w:rFonts w:hint="eastAsia" w:eastAsia="仿宋_GB2312" w:cs="Times New Roman"/>
                <w:bCs/>
                <w:color w:val="auto"/>
                <w:sz w:val="24"/>
                <w:szCs w:val="24"/>
                <w:lang w:val="en-US" w:eastAsia="zh-CN"/>
              </w:rPr>
              <w:t>要求，</w:t>
            </w:r>
            <w:r>
              <w:rPr>
                <w:rFonts w:hint="eastAsia" w:ascii="Times New Roman" w:hAnsi="Times New Roman" w:eastAsia="仿宋_GB2312" w:cs="Times New Roman"/>
                <w:bCs/>
                <w:color w:val="auto"/>
                <w:sz w:val="24"/>
                <w:szCs w:val="24"/>
              </w:rPr>
              <w:t>一般情况下工地施工噪声昼间在</w:t>
            </w:r>
            <w:r>
              <w:rPr>
                <w:rFonts w:hint="eastAsia" w:ascii="Times New Roman" w:hAnsi="Times New Roman" w:eastAsia="仿宋_GB2312" w:cs="Times New Roman"/>
                <w:bCs/>
                <w:color w:val="auto"/>
                <w:sz w:val="24"/>
                <w:szCs w:val="24"/>
                <w:lang w:val="en-US" w:eastAsia="zh-CN"/>
              </w:rPr>
              <w:t>2</w:t>
            </w:r>
            <w:r>
              <w:rPr>
                <w:rFonts w:hint="eastAsia" w:ascii="Times New Roman" w:hAnsi="Times New Roman" w:eastAsia="仿宋_GB2312" w:cs="Times New Roman"/>
                <w:bCs/>
                <w:color w:val="auto"/>
                <w:sz w:val="24"/>
                <w:szCs w:val="24"/>
              </w:rPr>
              <w:t>0</w:t>
            </w:r>
            <w:r>
              <w:rPr>
                <w:rFonts w:hint="default" w:ascii="Times New Roman" w:hAnsi="Times New Roman" w:eastAsia="仿宋_GB2312" w:cs="Times New Roman"/>
                <w:bCs/>
                <w:color w:val="auto"/>
                <w:sz w:val="24"/>
                <w:szCs w:val="24"/>
              </w:rPr>
              <w:t>m</w:t>
            </w:r>
            <w:r>
              <w:rPr>
                <w:rFonts w:hint="eastAsia" w:ascii="Times New Roman" w:hAnsi="Times New Roman" w:eastAsia="仿宋_GB2312" w:cs="Times New Roman"/>
                <w:bCs/>
                <w:color w:val="auto"/>
                <w:sz w:val="24"/>
                <w:szCs w:val="24"/>
              </w:rPr>
              <w:t>可达标</w:t>
            </w:r>
            <w:r>
              <w:rPr>
                <w:rFonts w:hint="eastAsia" w:ascii="Times New Roman" w:hAnsi="Times New Roman" w:eastAsia="仿宋_GB2312" w:cs="Times New Roman"/>
                <w:bCs/>
                <w:color w:val="auto"/>
                <w:sz w:val="24"/>
                <w:szCs w:val="24"/>
                <w:lang w:eastAsia="zh-CN"/>
              </w:rPr>
              <w:t>，</w:t>
            </w:r>
            <w:r>
              <w:rPr>
                <w:rFonts w:hint="eastAsia" w:eastAsia="仿宋_GB2312" w:cs="Times New Roman"/>
                <w:bCs/>
                <w:color w:val="auto"/>
                <w:sz w:val="24"/>
                <w:szCs w:val="24"/>
                <w:lang w:eastAsia="zh-CN"/>
              </w:rPr>
              <w:t>且本项目</w:t>
            </w:r>
            <w:r>
              <w:rPr>
                <w:rFonts w:hint="eastAsia" w:eastAsia="仿宋_GB2312" w:cs="Times New Roman"/>
                <w:bCs/>
                <w:color w:val="auto"/>
                <w:sz w:val="24"/>
                <w:szCs w:val="24"/>
                <w:lang w:val="en-US" w:eastAsia="zh-CN"/>
              </w:rPr>
              <w:t>施工边界外50m范围内没有声环境保护目标</w:t>
            </w:r>
            <w:r>
              <w:rPr>
                <w:rFonts w:hint="eastAsia" w:ascii="Times New Roman" w:hAnsi="Times New Roman" w:eastAsia="仿宋_GB2312" w:cs="Times New Roman"/>
                <w:bCs/>
                <w:color w:val="auto"/>
                <w:sz w:val="24"/>
                <w:szCs w:val="24"/>
              </w:rPr>
              <w:t>。</w:t>
            </w:r>
            <w:r>
              <w:rPr>
                <w:rFonts w:hint="eastAsia" w:ascii="Times New Roman" w:hAnsi="Times New Roman" w:eastAsia="仿宋_GB2312" w:cs="Times New Roman"/>
                <w:bCs/>
                <w:color w:val="auto"/>
                <w:sz w:val="24"/>
                <w:szCs w:val="24"/>
                <w:lang w:val="en-US" w:eastAsia="zh-CN"/>
              </w:rPr>
              <w:t>建议本项目在施工期间通过采取合理安排施工时间、合理布置施工现场、采用低噪声设备等严格的降噪措施后，可最大限度的降低噪声对周围声环境的影响。</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2.4固体废物影响分析</w:t>
            </w:r>
          </w:p>
          <w:p>
            <w:pPr>
              <w:pStyle w:val="49"/>
              <w:bidi w:val="0"/>
              <w:rPr>
                <w:rFonts w:hint="default" w:ascii="Times New Roman" w:hAnsi="Times New Roman" w:cs="Times New Roman"/>
                <w:color w:val="auto"/>
              </w:rPr>
            </w:pPr>
            <w:r>
              <w:rPr>
                <w:rFonts w:hint="default" w:ascii="Times New Roman" w:hAnsi="Times New Roman" w:cs="Times New Roman"/>
                <w:color w:val="auto"/>
                <w:lang w:val="en-US" w:eastAsia="zh-CN"/>
              </w:rPr>
              <w:t>本项目</w:t>
            </w:r>
            <w:r>
              <w:rPr>
                <w:rFonts w:hint="default" w:ascii="Times New Roman" w:hAnsi="Times New Roman" w:cs="Times New Roman"/>
                <w:color w:val="auto"/>
              </w:rPr>
              <w:t>施工期的固体废物主要有三类，一是</w:t>
            </w:r>
            <w:r>
              <w:rPr>
                <w:rFonts w:hint="eastAsia" w:cs="Times New Roman"/>
                <w:color w:val="auto"/>
                <w:lang w:eastAsia="zh-CN"/>
              </w:rPr>
              <w:t>土石方开挖产</w:t>
            </w:r>
            <w:r>
              <w:rPr>
                <w:rFonts w:hint="eastAsia" w:cs="Times New Roman"/>
                <w:color w:val="auto"/>
                <w:highlight w:val="none"/>
                <w:lang w:eastAsia="zh-CN"/>
              </w:rPr>
              <w:t>生的弃土</w:t>
            </w:r>
            <w:r>
              <w:rPr>
                <w:rFonts w:hint="default" w:ascii="Times New Roman" w:hAnsi="Times New Roman" w:cs="Times New Roman"/>
                <w:color w:val="auto"/>
              </w:rPr>
              <w:t>，二是施工过程产生的建筑垃圾，三是施工人员生活垃圾。</w:t>
            </w:r>
          </w:p>
          <w:p>
            <w:pPr>
              <w:pStyle w:val="49"/>
              <w:bidi w:val="0"/>
              <w:rPr>
                <w:rFonts w:hint="default" w:ascii="Times New Roman" w:hAnsi="Times New Roman" w:cs="Times New Roman"/>
                <w:b/>
                <w:bCs/>
                <w:color w:val="auto"/>
              </w:rPr>
            </w:pPr>
            <w:r>
              <w:rPr>
                <w:rFonts w:hint="eastAsia" w:cs="Times New Roman"/>
                <w:b/>
                <w:bCs/>
                <w:color w:val="auto"/>
                <w:lang w:eastAsia="zh-CN"/>
              </w:rPr>
              <w:t>（</w:t>
            </w:r>
            <w:r>
              <w:rPr>
                <w:rFonts w:hint="eastAsia" w:cs="Times New Roman"/>
                <w:b/>
                <w:bCs/>
                <w:color w:val="auto"/>
                <w:lang w:val="en-US" w:eastAsia="zh-CN"/>
              </w:rPr>
              <w:t>1</w:t>
            </w:r>
            <w:r>
              <w:rPr>
                <w:rFonts w:hint="eastAsia" w:cs="Times New Roman"/>
                <w:b/>
                <w:bCs/>
                <w:color w:val="auto"/>
                <w:lang w:eastAsia="zh-CN"/>
              </w:rPr>
              <w:t>）</w:t>
            </w:r>
            <w:r>
              <w:rPr>
                <w:rFonts w:hint="default" w:ascii="Times New Roman" w:hAnsi="Times New Roman" w:cs="Times New Roman"/>
                <w:b/>
                <w:bCs/>
                <w:color w:val="auto"/>
              </w:rPr>
              <w:t>弃土</w:t>
            </w:r>
          </w:p>
          <w:p>
            <w:pPr>
              <w:pStyle w:val="49"/>
              <w:bidi w:val="0"/>
              <w:rPr>
                <w:rFonts w:hint="default" w:ascii="Times New Roman" w:hAnsi="Times New Roman" w:eastAsia="仿宋_GB2312" w:cs="Times New Roman"/>
                <w:color w:val="auto"/>
                <w:highlight w:val="none"/>
                <w:lang w:eastAsia="zh-CN"/>
              </w:rPr>
            </w:pPr>
            <w:r>
              <w:rPr>
                <w:rFonts w:hint="default" w:ascii="Times New Roman" w:hAnsi="Times New Roman" w:cs="Times New Roman"/>
                <w:color w:val="auto"/>
                <w:highlight w:val="none"/>
                <w:lang w:eastAsia="zh-CN"/>
              </w:rPr>
              <w:t>根据工程建设土方平衡表</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lang w:eastAsia="zh-CN"/>
              </w:rPr>
              <w:t>本项目主体工程土石方开挖量为</w:t>
            </w:r>
            <w:r>
              <w:rPr>
                <w:rFonts w:hint="eastAsia" w:cs="Times New Roman"/>
                <w:color w:val="auto"/>
                <w:highlight w:val="none"/>
                <w:lang w:val="en-US" w:eastAsia="zh-CN"/>
              </w:rPr>
              <w:t>2459800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，土方回填量为</w:t>
            </w:r>
            <w:r>
              <w:rPr>
                <w:rFonts w:hint="eastAsia" w:cs="Times New Roman"/>
                <w:color w:val="auto"/>
                <w:highlight w:val="none"/>
                <w:lang w:val="en-US" w:eastAsia="zh-CN"/>
              </w:rPr>
              <w:t>2340100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eastAsia" w:cs="Times New Roman"/>
                <w:color w:val="auto"/>
                <w:highlight w:val="none"/>
                <w:lang w:val="en-US" w:eastAsia="zh-CN"/>
              </w:rPr>
              <w:t>，弃方量（主要包括基础开挖弃土等）119700m</w:t>
            </w:r>
            <w:r>
              <w:rPr>
                <w:rFonts w:hint="eastAsia" w:cs="Times New Roman"/>
                <w:color w:val="auto"/>
                <w:highlight w:val="none"/>
                <w:vertAlign w:val="superscript"/>
                <w:lang w:val="en-US" w:eastAsia="zh-CN"/>
              </w:rPr>
              <w:t>3</w:t>
            </w:r>
            <w:r>
              <w:rPr>
                <w:rFonts w:hint="eastAsia" w:cs="Times New Roman"/>
                <w:color w:val="auto"/>
                <w:highlight w:val="none"/>
                <w:lang w:val="en-US" w:eastAsia="zh-CN"/>
              </w:rPr>
              <w:t>。</w:t>
            </w:r>
            <w:r>
              <w:rPr>
                <w:rFonts w:hint="eastAsia" w:cs="Times New Roman"/>
                <w:color w:val="auto"/>
                <w:highlight w:val="none"/>
                <w:lang w:eastAsia="zh-CN"/>
              </w:rPr>
              <w:t>弃土运至</w:t>
            </w:r>
            <w:r>
              <w:rPr>
                <w:rFonts w:hint="eastAsia" w:cs="Times New Roman"/>
                <w:color w:val="auto"/>
                <w:highlight w:val="none"/>
                <w:lang w:val="en-US" w:eastAsia="zh-CN"/>
              </w:rPr>
              <w:t>附近弃土场摊平</w:t>
            </w:r>
            <w:r>
              <w:rPr>
                <w:rFonts w:hint="default" w:ascii="Times New Roman" w:hAnsi="Times New Roman" w:cs="Times New Roman"/>
                <w:color w:val="auto"/>
                <w:highlight w:val="none"/>
              </w:rPr>
              <w:t>，</w:t>
            </w:r>
            <w:r>
              <w:rPr>
                <w:rFonts w:hint="eastAsia" w:cs="Times New Roman"/>
                <w:color w:val="auto"/>
                <w:highlight w:val="none"/>
                <w:lang w:eastAsia="zh-CN"/>
              </w:rPr>
              <w:t>施工结束后</w:t>
            </w:r>
            <w:r>
              <w:rPr>
                <w:rFonts w:hint="default" w:ascii="Times New Roman" w:hAnsi="Times New Roman" w:cs="Times New Roman"/>
                <w:color w:val="auto"/>
                <w:highlight w:val="none"/>
              </w:rPr>
              <w:t>进行复垦</w:t>
            </w:r>
            <w:r>
              <w:rPr>
                <w:rFonts w:hint="eastAsia" w:cs="Times New Roman"/>
                <w:color w:val="auto"/>
                <w:highlight w:val="none"/>
                <w:lang w:eastAsia="zh-CN"/>
              </w:rPr>
              <w:t>，</w:t>
            </w:r>
            <w:r>
              <w:rPr>
                <w:rFonts w:hint="eastAsia" w:cs="Times New Roman"/>
                <w:color w:val="auto"/>
                <w:highlight w:val="none"/>
                <w:lang w:val="en-US" w:eastAsia="zh-CN"/>
              </w:rPr>
              <w:t xml:space="preserve"> 复垦包括：表土剥离、表土回覆（主体设计对基础占地范围内部分可剥离表土进行剥离，剥离表土采取集中堆放，后期用于覆土绿化）；机械土地整治：（根据主体设计，施工结束后，对所占用的沙坑和废弃沟道进行土地整治，整地面积根据实际占用面积而定。整地方式为机械结合人工土地整治，机械翻地松土，施工方式采用人工施农家肥，整地深度30cm）；土埂拦挡（沙坑和废弃沟道周围采用梯形式土埂进行拦挡，梯形土埂高1-2m，边坡1:1，土埂外坡进行拍瓷压实，形成结皮，防止水土流失）；种植扁穗冰草和紫花苜蓿（弃土区占地为林地和草地，栽植面积根据实际占用面积而定）</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故项目弃土弃渣</w:t>
            </w:r>
            <w:r>
              <w:rPr>
                <w:rFonts w:hint="eastAsia" w:cs="Times New Roman"/>
                <w:color w:val="auto"/>
                <w:highlight w:val="none"/>
                <w:lang w:eastAsia="zh-CN"/>
              </w:rPr>
              <w:t>均能得到妥善处理，对生态环境影响较小</w:t>
            </w:r>
            <w:r>
              <w:rPr>
                <w:rFonts w:hint="default" w:ascii="Times New Roman" w:hAnsi="Times New Roman" w:cs="Times New Roman"/>
                <w:color w:val="auto"/>
                <w:highlight w:val="none"/>
                <w:lang w:eastAsia="zh-CN"/>
              </w:rPr>
              <w:t>。</w:t>
            </w:r>
          </w:p>
          <w:p>
            <w:pPr>
              <w:pStyle w:val="49"/>
              <w:bidi w:val="0"/>
              <w:rPr>
                <w:rFonts w:hint="default" w:ascii="Times New Roman" w:hAnsi="Times New Roman" w:eastAsia="仿宋_GB2312" w:cs="Times New Roman"/>
                <w:b/>
                <w:bCs/>
                <w:color w:val="auto"/>
                <w:lang w:eastAsia="zh-CN"/>
              </w:rPr>
            </w:pPr>
            <w:r>
              <w:rPr>
                <w:rFonts w:hint="eastAsia" w:cs="Times New Roman"/>
                <w:b/>
                <w:bCs/>
                <w:color w:val="auto"/>
                <w:lang w:eastAsia="zh-CN"/>
              </w:rPr>
              <w:t>（</w:t>
            </w:r>
            <w:r>
              <w:rPr>
                <w:rFonts w:hint="eastAsia" w:cs="Times New Roman"/>
                <w:b/>
                <w:bCs/>
                <w:color w:val="auto"/>
                <w:lang w:val="en-US" w:eastAsia="zh-CN"/>
              </w:rPr>
              <w:t>2</w:t>
            </w:r>
            <w:r>
              <w:rPr>
                <w:rFonts w:hint="eastAsia" w:cs="Times New Roman"/>
                <w:b/>
                <w:bCs/>
                <w:color w:val="auto"/>
                <w:lang w:eastAsia="zh-CN"/>
              </w:rPr>
              <w:t>）</w:t>
            </w:r>
            <w:r>
              <w:rPr>
                <w:rFonts w:hint="default" w:ascii="Times New Roman" w:hAnsi="Times New Roman" w:cs="Times New Roman"/>
                <w:b/>
                <w:bCs/>
                <w:color w:val="auto"/>
                <w:lang w:eastAsia="zh-CN"/>
              </w:rPr>
              <w:t>建筑垃圾</w:t>
            </w:r>
          </w:p>
          <w:p>
            <w:pPr>
              <w:pStyle w:val="49"/>
              <w:bidi w:val="0"/>
              <w:rPr>
                <w:rFonts w:hint="eastAsia" w:ascii="Times New Roman" w:hAnsi="Times New Roman" w:eastAsia="仿宋_GB2312" w:cs="Times New Roman"/>
                <w:color w:val="auto"/>
                <w:lang w:eastAsia="zh-CN"/>
              </w:rPr>
            </w:pPr>
            <w:r>
              <w:rPr>
                <w:rFonts w:hint="default" w:ascii="Times New Roman" w:hAnsi="Times New Roman" w:cs="Times New Roman"/>
                <w:color w:val="auto"/>
              </w:rPr>
              <w:t>建筑垃圾包括地基开挖时产生的废弃砂浆、建材废包装、建材的废边角料等。本</w:t>
            </w:r>
            <w:r>
              <w:rPr>
                <w:rFonts w:hint="default" w:ascii="Times New Roman" w:hAnsi="Times New Roman" w:cs="Times New Roman"/>
                <w:color w:val="auto"/>
                <w:lang w:eastAsia="zh-CN"/>
              </w:rPr>
              <w:t>工程</w:t>
            </w:r>
            <w:r>
              <w:rPr>
                <w:rFonts w:hint="default" w:ascii="Times New Roman" w:hAnsi="Times New Roman" w:cs="Times New Roman"/>
                <w:color w:val="auto"/>
              </w:rPr>
              <w:t>施工期必须将废弃砂浆、建材废包装、建材的废边角料运至政府指定位置堆放，并及时采取相应的</w:t>
            </w:r>
            <w:r>
              <w:rPr>
                <w:rFonts w:hint="default" w:ascii="Times New Roman" w:hAnsi="Times New Roman" w:cs="Times New Roman"/>
                <w:color w:val="auto"/>
                <w:lang w:val="en-US" w:eastAsia="zh-CN"/>
              </w:rPr>
              <w:t>防护</w:t>
            </w:r>
            <w:r>
              <w:rPr>
                <w:rFonts w:hint="default" w:ascii="Times New Roman" w:hAnsi="Times New Roman" w:cs="Times New Roman"/>
                <w:color w:val="auto"/>
              </w:rPr>
              <w:t>措施，避免因长期堆放对水体或空气质量造成影响。</w:t>
            </w:r>
          </w:p>
          <w:p>
            <w:pPr>
              <w:pStyle w:val="49"/>
              <w:bidi w:val="0"/>
              <w:rPr>
                <w:rFonts w:hint="default" w:ascii="Times New Roman" w:hAnsi="Times New Roman" w:cs="Times New Roman"/>
                <w:b/>
                <w:bCs/>
                <w:color w:val="auto"/>
              </w:rPr>
            </w:pPr>
            <w:r>
              <w:rPr>
                <w:rFonts w:hint="eastAsia" w:cs="Times New Roman"/>
                <w:b/>
                <w:bCs/>
                <w:color w:val="auto"/>
                <w:lang w:eastAsia="zh-CN"/>
              </w:rPr>
              <w:t>（</w:t>
            </w:r>
            <w:r>
              <w:rPr>
                <w:rFonts w:hint="eastAsia" w:cs="Times New Roman"/>
                <w:b/>
                <w:bCs/>
                <w:color w:val="auto"/>
                <w:lang w:val="en-US" w:eastAsia="zh-CN"/>
              </w:rPr>
              <w:t>3</w:t>
            </w:r>
            <w:r>
              <w:rPr>
                <w:rFonts w:hint="eastAsia" w:cs="Times New Roman"/>
                <w:b/>
                <w:bCs/>
                <w:color w:val="auto"/>
                <w:lang w:eastAsia="zh-CN"/>
              </w:rPr>
              <w:t>）</w:t>
            </w:r>
            <w:r>
              <w:rPr>
                <w:rFonts w:hint="default" w:ascii="Times New Roman" w:hAnsi="Times New Roman" w:cs="Times New Roman"/>
                <w:b/>
                <w:bCs/>
                <w:color w:val="auto"/>
              </w:rPr>
              <w:t>生活垃圾</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本项目施工平均人数估算为</w:t>
            </w:r>
            <w:r>
              <w:rPr>
                <w:rFonts w:hint="eastAsia" w:cs="Times New Roman"/>
                <w:color w:val="auto"/>
                <w:lang w:val="en-US" w:eastAsia="zh-CN"/>
              </w:rPr>
              <w:t>5</w:t>
            </w:r>
            <w:r>
              <w:rPr>
                <w:rFonts w:hint="default" w:ascii="Times New Roman" w:hAnsi="Times New Roman" w:cs="Times New Roman"/>
                <w:color w:val="auto"/>
                <w:lang w:val="en-US" w:eastAsia="zh-CN"/>
              </w:rPr>
              <w:t>0人，人均每天生活垃圾产生量按0.5kg计算，则高峰期总产生量为0.0</w:t>
            </w:r>
            <w:r>
              <w:rPr>
                <w:rFonts w:hint="eastAsia" w:cs="Times New Roman"/>
                <w:color w:val="auto"/>
                <w:lang w:val="en-US" w:eastAsia="zh-CN"/>
              </w:rPr>
              <w:t>25</w:t>
            </w:r>
            <w:r>
              <w:rPr>
                <w:rFonts w:hint="default" w:ascii="Times New Roman" w:hAnsi="Times New Roman" w:cs="Times New Roman"/>
                <w:color w:val="auto"/>
                <w:lang w:val="en-US" w:eastAsia="zh-CN"/>
              </w:rPr>
              <w:t>t/d，主要污染物为垃圾袋和矿泉水瓶等。施工中将定点集中收集，由施工单位组织收集统一外运至环卫部门指定地点</w:t>
            </w:r>
            <w:r>
              <w:rPr>
                <w:rFonts w:hint="default" w:ascii="Times New Roman" w:hAnsi="Times New Roman" w:cs="Times New Roman"/>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92"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施工期生态环境影响分析</w:t>
            </w:r>
          </w:p>
        </w:tc>
        <w:tc>
          <w:tcPr>
            <w:tcW w:w="8616" w:type="dxa"/>
            <w:vMerge w:val="continue"/>
            <w:vAlign w:val="center"/>
          </w:tcPr>
          <w:p>
            <w:pPr>
              <w:jc w:val="center"/>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17"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施工期生态环境影响分析</w:t>
            </w:r>
          </w:p>
        </w:tc>
        <w:tc>
          <w:tcPr>
            <w:tcW w:w="8616" w:type="dxa"/>
            <w:vMerge w:val="continue"/>
            <w:vAlign w:val="center"/>
          </w:tcPr>
          <w:p>
            <w:pPr>
              <w:jc w:val="center"/>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72"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施工期生态环境影响分析</w:t>
            </w:r>
          </w:p>
        </w:tc>
        <w:tc>
          <w:tcPr>
            <w:tcW w:w="8616" w:type="dxa"/>
            <w:vMerge w:val="continue"/>
            <w:vAlign w:val="center"/>
          </w:tcPr>
          <w:p>
            <w:pPr>
              <w:jc w:val="center"/>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2"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施工期生态环境影响分析</w:t>
            </w:r>
          </w:p>
        </w:tc>
        <w:tc>
          <w:tcPr>
            <w:tcW w:w="8616" w:type="dxa"/>
            <w:vMerge w:val="continue"/>
            <w:vAlign w:val="center"/>
          </w:tcPr>
          <w:p>
            <w:pPr>
              <w:jc w:val="center"/>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4"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施工期生态环境影响分析</w:t>
            </w:r>
          </w:p>
        </w:tc>
        <w:tc>
          <w:tcPr>
            <w:tcW w:w="8616" w:type="dxa"/>
            <w:vMerge w:val="continue"/>
            <w:vAlign w:val="center"/>
          </w:tcPr>
          <w:p>
            <w:pPr>
              <w:jc w:val="center"/>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8" w:type="dxa"/>
            <w:vAlign w:val="center"/>
          </w:tcPr>
          <w:p>
            <w:pPr>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运营期生态环境影响分析</w:t>
            </w:r>
          </w:p>
        </w:tc>
        <w:tc>
          <w:tcPr>
            <w:tcW w:w="8616" w:type="dxa"/>
            <w:vAlign w:val="center"/>
          </w:tcPr>
          <w:p>
            <w:pPr>
              <w:pStyle w:val="49"/>
              <w:bidi w:val="0"/>
              <w:rPr>
                <w:rFonts w:hint="eastAsia" w:cs="Times New Roman"/>
                <w:b/>
                <w:bCs/>
                <w:color w:val="auto"/>
                <w:highlight w:val="none"/>
                <w:lang w:val="en-US" w:eastAsia="zh-CN"/>
              </w:rPr>
            </w:pPr>
            <w:r>
              <w:rPr>
                <w:rFonts w:hint="eastAsia" w:cs="Times New Roman"/>
                <w:b/>
                <w:bCs/>
                <w:color w:val="auto"/>
                <w:highlight w:val="none"/>
                <w:lang w:val="en-US" w:eastAsia="zh-CN"/>
              </w:rPr>
              <w:t>一、运营期产污环节及环境影响分析：</w:t>
            </w:r>
          </w:p>
          <w:p>
            <w:pPr>
              <w:pStyle w:val="49"/>
              <w:bidi w:val="0"/>
              <w:rPr>
                <w:rFonts w:hint="eastAsia" w:cs="Times New Roman"/>
                <w:color w:val="auto"/>
                <w:highlight w:val="none"/>
                <w:lang w:val="en-US" w:eastAsia="zh-CN"/>
              </w:rPr>
            </w:pPr>
            <w:r>
              <w:rPr>
                <w:rFonts w:hint="eastAsia" w:cs="Times New Roman"/>
                <w:b/>
                <w:bCs/>
                <w:color w:val="auto"/>
                <w:highlight w:val="none"/>
                <w:lang w:val="en-US" w:eastAsia="zh-CN"/>
              </w:rPr>
              <w:t>噪声：</w:t>
            </w:r>
            <w:r>
              <w:rPr>
                <w:rFonts w:hint="eastAsia" w:cs="Times New Roman"/>
                <w:color w:val="auto"/>
                <w:highlight w:val="none"/>
                <w:lang w:val="en-US" w:eastAsia="zh-CN"/>
              </w:rPr>
              <w:t>运营期，风力发电机组在运转过程中产生的噪声来自于风轮叶片旋转时产生的空气动力噪声、齿轮箱和发电机等部件发出的机械噪声，其中以机组内部的机械噪声为主。本风电场采用单机容量为6.67MW的风电机组，在 10m 高度的风速为 10m/s 时的标准状态下，机组运行时轮毂处噪声约 101.3dB(A)～110.0dB(A)。由于风电机组间相距较远，每个风电机组可视为一个点声源，根据处于自由空间的点声源衰减公式和多声源叠加公式对预测点进行预测可知，昼间水平距离 100m 外、夜间水平距离 200m 外的噪声满足《工业企业厂界环境噪声排放标准》（GB12348-2008）2 类标准，即昼间 60dB(A)、夜间 50dB(A)的要求，对周围声环境不产生影响。</w:t>
            </w:r>
          </w:p>
          <w:p>
            <w:pPr>
              <w:pStyle w:val="49"/>
              <w:bidi w:val="0"/>
              <w:rPr>
                <w:rFonts w:hint="eastAsia" w:cs="Times New Roman"/>
                <w:b/>
                <w:bCs/>
                <w:color w:val="auto"/>
                <w:highlight w:val="none"/>
                <w:lang w:val="en-US" w:eastAsia="zh-CN"/>
              </w:rPr>
            </w:pPr>
            <w:r>
              <w:rPr>
                <w:rFonts w:hint="eastAsia" w:cs="Times New Roman"/>
                <w:b/>
                <w:bCs/>
                <w:color w:val="auto"/>
                <w:highlight w:val="none"/>
                <w:lang w:val="en-US" w:eastAsia="zh-CN"/>
              </w:rPr>
              <w:t>固体废物：</w:t>
            </w:r>
          </w:p>
          <w:p>
            <w:pPr>
              <w:pStyle w:val="49"/>
              <w:bidi w:val="0"/>
              <w:rPr>
                <w:rFonts w:hint="default" w:cs="Times New Roman"/>
                <w:color w:val="auto"/>
                <w:highlight w:val="none"/>
                <w:lang w:val="en-US" w:eastAsia="zh-CN"/>
              </w:rPr>
            </w:pPr>
            <w:r>
              <w:rPr>
                <w:rFonts w:hint="eastAsia" w:cs="Times New Roman"/>
                <w:color w:val="auto"/>
                <w:highlight w:val="none"/>
                <w:lang w:val="en-US" w:eastAsia="zh-CN"/>
              </w:rPr>
              <w:t>运营期设备检修过程产生的废润滑油属于危险废物，集中收集后直接交由有资质单位处置，废润滑油属于《国家危险废物名录》（2021年版）中“HW08废矿物油与含矿物油废物”中的“900-249-08其他生产、销售、使用过程中产生的废矿物油及沾染矿物油的废弃包装物”；变压器废油属于《国家危险废物名录》（2021年版）中“HW08废矿物油与含矿物油废物”中的“900-220-08变压器维护、更换、拆解过程中产生的废变压油”。营运期箱式变压器发生事故状态下会产生变压器废油，本项目在每座箱式变压器底部均修建防渗事故油池（容积为5m</w:t>
            </w:r>
            <w:r>
              <w:rPr>
                <w:rFonts w:hint="eastAsia" w:cs="Times New Roman"/>
                <w:color w:val="auto"/>
                <w:highlight w:val="none"/>
                <w:vertAlign w:val="superscript"/>
                <w:lang w:val="en-US" w:eastAsia="zh-CN"/>
              </w:rPr>
              <w:t>3</w:t>
            </w:r>
            <w:r>
              <w:rPr>
                <w:rFonts w:hint="eastAsia" w:cs="Times New Roman"/>
                <w:color w:val="auto"/>
                <w:highlight w:val="none"/>
                <w:lang w:val="en-US" w:eastAsia="zh-CN"/>
              </w:rPr>
              <w:t>），变压器废油集中收集后直接交由有资质单位处置，事故油池严格按照《危险废物贮存污染控制标准》（GB18597-2023）要求进行建设及管理，事故油池做基础防渗，防渗层为至少1m厚的粘土层（渗透系数不大于1.0×10</w:t>
            </w:r>
            <w:r>
              <w:rPr>
                <w:rFonts w:hint="eastAsia" w:cs="Times New Roman"/>
                <w:color w:val="auto"/>
                <w:highlight w:val="none"/>
                <w:vertAlign w:val="superscript"/>
                <w:lang w:val="en-US" w:eastAsia="zh-CN"/>
              </w:rPr>
              <w:t>-7</w:t>
            </w:r>
            <w:r>
              <w:rPr>
                <w:rFonts w:hint="eastAsia" w:cs="Times New Roman"/>
                <w:color w:val="auto"/>
                <w:highlight w:val="none"/>
                <w:lang w:val="en-US" w:eastAsia="zh-CN"/>
              </w:rPr>
              <w:t>cm/s），或至少2mm厚高密度聚乙烯等人工防渗材料（渗透系数不大于1.0×10</w:t>
            </w:r>
            <w:r>
              <w:rPr>
                <w:rFonts w:hint="eastAsia" w:cs="Times New Roman"/>
                <w:color w:val="auto"/>
                <w:highlight w:val="none"/>
                <w:vertAlign w:val="superscript"/>
                <w:lang w:val="en-US" w:eastAsia="zh-CN"/>
              </w:rPr>
              <w:t>-10</w:t>
            </w:r>
            <w:r>
              <w:rPr>
                <w:rFonts w:hint="eastAsia" w:cs="Times New Roman"/>
                <w:color w:val="auto"/>
                <w:highlight w:val="none"/>
                <w:lang w:val="en-US" w:eastAsia="zh-CN"/>
              </w:rPr>
              <w:t>cm/s），或其他防渗性能等效的材料。</w:t>
            </w:r>
          </w:p>
          <w:p>
            <w:pPr>
              <w:pStyle w:val="49"/>
              <w:bidi w:val="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3.</w:t>
            </w:r>
            <w:r>
              <w:rPr>
                <w:rFonts w:hint="default" w:ascii="Times New Roman" w:hAnsi="Times New Roman" w:cs="Times New Roman"/>
                <w:b/>
                <w:bCs/>
                <w:color w:val="auto"/>
                <w:highlight w:val="none"/>
                <w:lang w:val="en-US" w:eastAsia="zh-CN"/>
              </w:rPr>
              <w:t>对植被的影响分析</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风电场投入运营后，永久占地内的地表植被完全被破坏，取而代之的是风机和箱变的基础以及场内检修道路的路面。工程对临时占地风机基础和箱变基础占地进行植被恢复，对风电机组区以及检修道路两侧实施植被恢复和绿化工程，运营期地表植被状况逐渐好转，施工结束3年左右时间后，植被状况将好于原有的自然植被系统，因此项目施工期对占地范围内植被影响较小。</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占地不涉及国家和地方重点保护野生植物分布区，风电建设区域属于点状分布，风机的运行离地面较高，建成后风机的运行对场内植被的正常生长几乎没有影响。因此，项目运营期不会对植被造成不利影响。</w:t>
            </w:r>
          </w:p>
          <w:p>
            <w:pPr>
              <w:pStyle w:val="49"/>
              <w:bidi w:val="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4.</w:t>
            </w:r>
            <w:r>
              <w:rPr>
                <w:rFonts w:hint="default" w:ascii="Times New Roman" w:hAnsi="Times New Roman" w:cs="Times New Roman"/>
                <w:b/>
                <w:bCs/>
                <w:color w:val="auto"/>
                <w:highlight w:val="none"/>
                <w:lang w:val="en-US" w:eastAsia="zh-CN"/>
              </w:rPr>
              <w:t>对野生动物的影响分析</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①对野生动物活动的阻隔影响</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经过现场调查及查阅资料，风电场范围内未发现野生动物的集中迁移路线，并且场内检修道路的路面较窄、平时车辆较少，基本不会对野生动物的活动产生阻隔影响。</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②风机噪声对野生动物的影响</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施工过程中，因噪声强度的增加和人为活动的频繁，致使部分动物发生小尺度的迁移，但随着施工期的结束，场区内及周围动物会逐渐适应于风力发电机组的运行噪声及场内道路，在施工期迁走的动物也将逐渐回迁，不会影响野生动物的生存活动空间，对区域生物多样性不会产生影响。</w:t>
            </w:r>
          </w:p>
          <w:p>
            <w:pPr>
              <w:pStyle w:val="49"/>
              <w:bidi w:val="0"/>
              <w:rPr>
                <w:rFonts w:hint="eastAsia" w:cs="Times New Roman"/>
                <w:b/>
                <w:bCs/>
                <w:color w:val="auto"/>
                <w:highlight w:val="none"/>
                <w:lang w:val="en-US" w:eastAsia="zh-CN"/>
              </w:rPr>
            </w:pPr>
            <w:r>
              <w:rPr>
                <w:rFonts w:hint="eastAsia" w:cs="Times New Roman"/>
                <w:b/>
                <w:bCs/>
                <w:color w:val="auto"/>
                <w:highlight w:val="none"/>
                <w:lang w:val="en-US" w:eastAsia="zh-CN"/>
              </w:rPr>
              <w:t>5.对鸟类的影响</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①对候鸟的影响</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当风力机安装在鸟类飞行的通道上，将发生鸟类在飞行过程中撞上运行的叶轮而死亡的现象，尤其当风机安装在鸟类活动的频繁的地区。</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大型风力发电机安装，会对鸟类的迁徙造成的危害，尤其是夜间迁徙的候鸟。因此，选择风力发电场址时，还要尽量避开有大群夜间迁徙候鸟在近地面通过的地方为宜。</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鸟类实验资料表明，一般鸟类的飞行高度为300m左右；在迁徒季节，候鸟的迁飞高度在300m以上，如燕为450m、鹤为500m、雁为900m，均远远超过风机110m的高度，因此，鸟类在飞行或迁徒中，风电场风机对其造成的危害较小。本次拟选风机叶片扫动到的最高高度约125m，而候鸟迁徒飞行的高度一般在300m以上。经调查工程区内没有高大的乔木林，调查期间没有发现成批的候鸟在此停落。风机在运行过程中，转速较慢，转数一般在16转/min，综合当地平均风速、周边区域植被高度、地形以及风机的分布进行情况分析可知，风机的运转不会造成区域空气涡流而影响鸟类的迁徙，并且项目所在区域不是候鸟的主要迁徒通道。</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因此，风电场运行期不会影响候鸟的正常迁徙，均超过风机的高度。</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②对留鸟的影响</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风场运营期对留鸟的影响主要表现在风机的运行噪声及叶片旋转气流等方面。</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对同类风电场的类比调查可知：由于风机的运行噪声及叶片旋转气流致使部分鸟类不敢在运行的风机附近停留，对部分鸟类的活动范围可能会产生一定的影响。德国曾针对风力发电场对鸟类影响进行过研究，发现噪声源强达80-110dB的风力发电场对距离250m外鸟巢中的鸟及其正常的觅食不会产生任何影响。另据有关观测资料，不同鸟类对噪声的耐受性也有所不同，有的对噪声较敏感，有的不太敏感。在项目区活动的鸟类主要为喜鹊、麻雀、燕子等一般鸟类，数量较少，同类生境在附近易于找寻，受风机运行影响的鸟类将迁往附近其它同类生境，风机运行对其影响较小。</w:t>
            </w:r>
          </w:p>
          <w:p>
            <w:pPr>
              <w:pStyle w:val="49"/>
              <w:bidi w:val="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6.</w:t>
            </w:r>
            <w:r>
              <w:rPr>
                <w:rFonts w:hint="default" w:ascii="Times New Roman" w:hAnsi="Times New Roman" w:cs="Times New Roman"/>
                <w:b/>
                <w:bCs/>
                <w:color w:val="auto"/>
                <w:highlight w:val="none"/>
                <w:lang w:val="en-US" w:eastAsia="zh-CN"/>
              </w:rPr>
              <w:t>对土地利用的影响</w:t>
            </w:r>
          </w:p>
          <w:p>
            <w:pPr>
              <w:pStyle w:val="49"/>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运营后，永久性占地将使原有</w:t>
            </w:r>
            <w:r>
              <w:rPr>
                <w:rFonts w:hint="eastAsia" w:cs="Times New Roman"/>
                <w:color w:val="auto"/>
                <w:highlight w:val="none"/>
                <w:lang w:val="en-US" w:eastAsia="zh-CN"/>
              </w:rPr>
              <w:t>农用地</w:t>
            </w:r>
            <w:r>
              <w:rPr>
                <w:rFonts w:hint="default" w:ascii="Times New Roman" w:hAnsi="Times New Roman" w:cs="Times New Roman"/>
                <w:color w:val="auto"/>
                <w:highlight w:val="none"/>
                <w:lang w:val="en-US" w:eastAsia="zh-CN"/>
              </w:rPr>
              <w:t>变为生产用地，且这种变化是不可逆的。永久占地主要为风力发电机组基础、</w:t>
            </w:r>
            <w:r>
              <w:rPr>
                <w:rFonts w:hint="eastAsia" w:cs="Times New Roman"/>
                <w:color w:val="auto"/>
                <w:highlight w:val="none"/>
                <w:lang w:val="en-US" w:eastAsia="zh-CN"/>
              </w:rPr>
              <w:t>箱变基础</w:t>
            </w:r>
            <w:r>
              <w:rPr>
                <w:rFonts w:hint="default" w:ascii="Times New Roman" w:hAnsi="Times New Roman" w:cs="Times New Roman"/>
                <w:color w:val="auto"/>
                <w:highlight w:val="none"/>
                <w:lang w:val="en-US" w:eastAsia="zh-CN"/>
              </w:rPr>
              <w:t>等用地，永久占地面积为</w:t>
            </w:r>
            <w:r>
              <w:rPr>
                <w:rFonts w:hint="eastAsia" w:cs="Times New Roman"/>
                <w:color w:val="auto"/>
                <w:highlight w:val="none"/>
                <w:lang w:val="en-US" w:eastAsia="zh-CN"/>
              </w:rPr>
              <w:t>80850</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对区域土地利用性质的影响减小。项目施工期间由于施工活动使少量植被生长遭到破坏，将对局部区域的水土保持有一定的影响。项目建设后期，施工单位应按建设项目水土保持的有关要求进行施工现场的回填、平整，采用适当的抚育措施，以利于自然植被的恢复。项目建成投运后，随着自然植被的逐步恢复，本项目建设对当地的土地利用影响较小</w:t>
            </w:r>
            <w:r>
              <w:rPr>
                <w:rFonts w:hint="eastAsia" w:cs="Times New Roman"/>
                <w:color w:val="auto"/>
                <w:highlight w:val="none"/>
                <w:lang w:val="en-US" w:eastAsia="zh-CN"/>
              </w:rPr>
              <w:t>。</w:t>
            </w:r>
          </w:p>
          <w:p>
            <w:pPr>
              <w:pStyle w:val="49"/>
              <w:bidi w:val="0"/>
              <w:rPr>
                <w:rFonts w:hint="default" w:ascii="Times New Roman" w:hAnsi="Times New Roman" w:cs="Times New Roman"/>
                <w:color w:val="auto"/>
                <w:highlight w:val="none"/>
                <w:lang w:val="en-US" w:eastAsia="zh-CN"/>
              </w:rPr>
            </w:pPr>
            <w:r>
              <w:rPr>
                <w:rFonts w:hint="eastAsia" w:cs="Times New Roman"/>
                <w:b/>
                <w:bCs/>
                <w:color w:val="auto"/>
                <w:highlight w:val="none"/>
                <w:lang w:val="en-US" w:eastAsia="zh-CN"/>
              </w:rPr>
              <w:t>7.</w:t>
            </w:r>
            <w:r>
              <w:rPr>
                <w:rFonts w:hint="default" w:ascii="Times New Roman" w:hAnsi="Times New Roman" w:cs="Times New Roman"/>
                <w:b/>
                <w:bCs/>
                <w:color w:val="auto"/>
                <w:highlight w:val="none"/>
                <w:lang w:val="en-US" w:eastAsia="zh-CN"/>
              </w:rPr>
              <w:t>区域景观生态影响分析</w:t>
            </w:r>
            <w:r>
              <w:rPr>
                <w:rFonts w:hint="default" w:ascii="Times New Roman" w:hAnsi="Times New Roman" w:cs="Times New Roman"/>
                <w:color w:val="auto"/>
                <w:highlight w:val="none"/>
                <w:lang w:val="en-US" w:eastAsia="zh-CN"/>
              </w:rPr>
              <w:t xml:space="preserve"> </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风电场建成后，风电机组有序排列，可以构成一个独特的人文景观，这种景观具有群体性、可观赏性，虽与自然景观有明显差异，但可以反映人与自然结合的完美性，对空间布局不造成干扰影响，同时大规模的风电基地亦形成当地的清洁能源参观与旅游基地，将成为一道亮丽的独特景观，而且给该地区增添了新的旅游景点，促进当地旅游业的发展。</w:t>
            </w:r>
          </w:p>
          <w:p>
            <w:pPr>
              <w:pStyle w:val="49"/>
              <w:bidi w:val="0"/>
              <w:rPr>
                <w:rFonts w:hint="default" w:ascii="Times New Roman" w:hAnsi="Times New Roman" w:cs="Times New Roman"/>
                <w:color w:val="auto"/>
                <w:highlight w:val="none"/>
                <w:lang w:val="en-US" w:eastAsia="zh-CN"/>
              </w:rPr>
            </w:pPr>
            <w:r>
              <w:rPr>
                <w:rFonts w:hint="eastAsia" w:cs="Times New Roman"/>
                <w:b/>
                <w:bCs/>
                <w:color w:val="auto"/>
                <w:highlight w:val="none"/>
                <w:lang w:val="en-US" w:eastAsia="zh-CN"/>
              </w:rPr>
              <w:t>8.</w:t>
            </w:r>
            <w:r>
              <w:rPr>
                <w:rFonts w:hint="default" w:ascii="Times New Roman" w:hAnsi="Times New Roman" w:cs="Times New Roman"/>
                <w:b/>
                <w:bCs/>
                <w:color w:val="auto"/>
                <w:highlight w:val="none"/>
                <w:lang w:val="en-US" w:eastAsia="zh-CN"/>
              </w:rPr>
              <w:t>电磁影响分析</w:t>
            </w:r>
            <w:r>
              <w:rPr>
                <w:rFonts w:hint="default" w:ascii="Times New Roman" w:hAnsi="Times New Roman" w:cs="Times New Roman"/>
                <w:color w:val="auto"/>
                <w:highlight w:val="none"/>
                <w:lang w:val="en-US" w:eastAsia="zh-CN"/>
              </w:rPr>
              <w:t xml:space="preserve"> </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风电场发电运行产生的工频电磁场强度较低，且场址周围无工业、企业、学校、医院等环境敏感目标，不会对居民身体健康产生危害，周围无线电、电视等电器设备较少，不会对其产生影响。因此，本工程的工频电磁场不会对环境产生明显不利影响。</w:t>
            </w:r>
          </w:p>
          <w:p>
            <w:pPr>
              <w:pStyle w:val="49"/>
              <w:bidi w:val="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9</w:t>
            </w:r>
            <w:r>
              <w:rPr>
                <w:rFonts w:hint="default" w:ascii="Times New Roman" w:hAnsi="Times New Roman" w:cs="Times New Roman"/>
                <w:b/>
                <w:bCs/>
                <w:color w:val="auto"/>
                <w:highlight w:val="none"/>
                <w:lang w:val="en-US" w:eastAsia="zh-CN"/>
              </w:rPr>
              <w:t>.项目投运的环境正效益</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本项目</w:t>
            </w:r>
            <w:r>
              <w:rPr>
                <w:rFonts w:hint="eastAsia" w:cs="Times New Roman"/>
                <w:color w:val="auto"/>
                <w:highlight w:val="none"/>
                <w:lang w:eastAsia="zh-CN"/>
              </w:rPr>
              <w:t>为</w:t>
            </w:r>
            <w:r>
              <w:rPr>
                <w:rFonts w:hint="default" w:ascii="Times New Roman" w:hAnsi="Times New Roman" w:cs="Times New Roman"/>
                <w:color w:val="auto"/>
                <w:highlight w:val="none"/>
                <w:lang w:eastAsia="zh-CN"/>
              </w:rPr>
              <w:t>风力发电项目，</w:t>
            </w:r>
            <w:r>
              <w:rPr>
                <w:rFonts w:hint="default" w:ascii="Times New Roman" w:hAnsi="Times New Roman" w:cs="Times New Roman"/>
                <w:color w:val="auto"/>
                <w:highlight w:val="none"/>
                <w:lang w:val="en-US" w:eastAsia="zh-CN"/>
              </w:rPr>
              <w:t>风能是清洁的、可再生的能源，开发风能符合国家环保、节能政策。风电场的开发建设可有效减少常规能源尤其是煤炭资源的消耗，保护生态环境，营造出塞上江南的旅游胜地。同时，在西北几个大风口建设风电场，利用了丰富的风能资源，同时减缓风势，可以部分解决西北地区干旱问题，遏制风沙天气的恶化。风电项目的开发建设，在促进地方经济可持续发展的同时，也拉动和带动了旅游等相关产业的发展，增加了就业岗位和机会，为地方经济的稳定发展、能源工业的可持续发展添砖加瓦，为保护生态环境、人与自然和谐共处做出了应有的贡献。</w:t>
            </w:r>
          </w:p>
          <w:p>
            <w:pPr>
              <w:pStyle w:val="49"/>
              <w:bidi w:val="0"/>
              <w:rPr>
                <w:rFonts w:hint="default" w:ascii="Times New Roman" w:hAnsi="Times New Roman" w:cs="Times New Roman"/>
                <w:color w:val="auto"/>
                <w:highlight w:val="none"/>
              </w:rPr>
            </w:pPr>
          </w:p>
          <w:p>
            <w:pPr>
              <w:pStyle w:val="49"/>
              <w:bidi w:val="0"/>
              <w:rPr>
                <w:rFonts w:hint="default" w:ascii="Times New Roman" w:hAnsi="Times New Roman" w:cs="Times New Roman"/>
                <w:color w:val="auto"/>
                <w:highlight w:val="none"/>
              </w:rPr>
            </w:pPr>
          </w:p>
          <w:p>
            <w:pPr>
              <w:pStyle w:val="49"/>
              <w:bidi w:val="0"/>
              <w:rPr>
                <w:rFonts w:hint="default" w:ascii="Times New Roman" w:hAnsi="Times New Roman" w:cs="Times New Roman"/>
                <w:color w:val="auto"/>
                <w:highlight w:val="none"/>
              </w:rPr>
            </w:pPr>
          </w:p>
          <w:p>
            <w:pPr>
              <w:pStyle w:val="49"/>
              <w:bidi w:val="0"/>
              <w:rPr>
                <w:rFonts w:hint="default" w:ascii="Times New Roman" w:hAnsi="Times New Roman" w:cs="Times New Roman"/>
                <w:color w:val="auto"/>
                <w:highlight w:val="none"/>
              </w:rPr>
            </w:pPr>
          </w:p>
          <w:p>
            <w:pPr>
              <w:pStyle w:val="49"/>
              <w:bidi w:val="0"/>
              <w:rPr>
                <w:rFonts w:hint="default" w:ascii="Times New Roman" w:hAnsi="Times New Roman" w:cs="Times New Roman"/>
                <w:color w:val="auto"/>
                <w:highlight w:val="none"/>
              </w:rPr>
            </w:pPr>
          </w:p>
          <w:p>
            <w:pPr>
              <w:pStyle w:val="49"/>
              <w:bidi w:val="0"/>
              <w:rPr>
                <w:rFonts w:hint="default" w:ascii="Times New Roman" w:hAnsi="Times New Roman" w:cs="Times New Roman"/>
                <w:color w:val="auto"/>
                <w:highlight w:val="none"/>
              </w:rPr>
            </w:pPr>
          </w:p>
          <w:p>
            <w:pPr>
              <w:pStyle w:val="49"/>
              <w:bidi w:val="0"/>
              <w:rPr>
                <w:rFonts w:hint="default" w:ascii="Times New Roman" w:hAnsi="Times New Roman" w:cs="Times New Roman"/>
                <w:color w:val="auto"/>
                <w:highlight w:val="none"/>
              </w:rPr>
            </w:pPr>
          </w:p>
          <w:p>
            <w:pPr>
              <w:pStyle w:val="49"/>
              <w:bidi w:val="0"/>
              <w:rPr>
                <w:rFonts w:hint="default" w:ascii="Times New Roman" w:hAnsi="Times New Roman" w:cs="Times New Roman"/>
                <w:color w:val="auto"/>
                <w:highlight w:val="none"/>
              </w:rPr>
            </w:pPr>
          </w:p>
          <w:p>
            <w:pPr>
              <w:pStyle w:val="49"/>
              <w:bidi w:val="0"/>
              <w:rPr>
                <w:rFonts w:hint="eastAsia" w:eastAsia="仿宋_GB2312"/>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18"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p>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选址选线环境合理性分析</w:t>
            </w:r>
          </w:p>
          <w:p>
            <w:pPr>
              <w:pStyle w:val="12"/>
              <w:rPr>
                <w:rFonts w:hint="default"/>
                <w:lang w:val="en-US" w:eastAsia="zh-CN"/>
              </w:rPr>
            </w:pPr>
          </w:p>
        </w:tc>
        <w:tc>
          <w:tcPr>
            <w:tcW w:w="8616" w:type="dxa"/>
            <w:vAlign w:val="center"/>
          </w:tcPr>
          <w:p>
            <w:pPr>
              <w:pStyle w:val="49"/>
              <w:bidi w:val="0"/>
              <w:jc w:val="left"/>
              <w:rPr>
                <w:rFonts w:hint="eastAsia" w:cs="Times New Roman"/>
                <w:color w:val="auto"/>
                <w:lang w:val="en-US" w:eastAsia="zh-CN"/>
              </w:rPr>
            </w:pPr>
            <w:r>
              <w:rPr>
                <w:rFonts w:hint="eastAsia" w:cs="Times New Roman"/>
                <w:color w:val="auto"/>
                <w:lang w:val="en-US" w:eastAsia="zh-CN"/>
              </w:rPr>
              <w:t>1.弃土场选址合理性</w:t>
            </w:r>
          </w:p>
          <w:p>
            <w:pPr>
              <w:pStyle w:val="49"/>
              <w:bidi w:val="0"/>
              <w:jc w:val="left"/>
              <w:rPr>
                <w:rFonts w:hint="eastAsia" w:cs="Times New Roman"/>
                <w:color w:val="auto"/>
                <w:lang w:val="en-US" w:eastAsia="zh-CN"/>
              </w:rPr>
            </w:pPr>
            <w:r>
              <w:rPr>
                <w:rFonts w:hint="eastAsia" w:cs="Times New Roman"/>
                <w:color w:val="auto"/>
                <w:lang w:val="en-US" w:eastAsia="zh-CN"/>
              </w:rPr>
              <w:t>本次需设41处弃土场，弃土场分别利用取沙坑和废弃沟道，</w:t>
            </w:r>
            <w:r>
              <w:rPr>
                <w:rFonts w:hint="eastAsia" w:cs="Times New Roman"/>
                <w:color w:val="auto"/>
                <w:highlight w:val="none"/>
                <w:lang w:val="en-US" w:eastAsia="zh-CN"/>
              </w:rPr>
              <w:t>占地377765m</w:t>
            </w:r>
            <w:r>
              <w:rPr>
                <w:rFonts w:hint="eastAsia" w:cs="Times New Roman"/>
                <w:color w:val="auto"/>
                <w:highlight w:val="none"/>
                <w:vertAlign w:val="superscript"/>
                <w:lang w:val="en-US" w:eastAsia="zh-CN"/>
              </w:rPr>
              <w:t>2</w:t>
            </w:r>
            <w:r>
              <w:rPr>
                <w:rFonts w:hint="eastAsia" w:cs="Times New Roman"/>
                <w:color w:val="auto"/>
                <w:highlight w:val="none"/>
                <w:lang w:val="en-US" w:eastAsia="zh-CN"/>
              </w:rPr>
              <w:t>，占地类型为林地、草地，</w:t>
            </w:r>
            <w:r>
              <w:rPr>
                <w:rFonts w:hint="eastAsia" w:cs="Times New Roman"/>
                <w:color w:val="auto"/>
                <w:lang w:val="en-US" w:eastAsia="zh-CN"/>
              </w:rPr>
              <w:t>弃土运至弃土场后回填整平并进行复垦，弃土前进行表土剥离，剥离的表土堆放于弃土场一角；弃土结束后回覆表土并进行机械施工土地整治。项目所在区域周边无自然保护区、风景名胜区、重点文物保护区、饮用水源保护区、森林公园等敏感区分布。本项目本身为风力发电工程，产生的生态环境、噪声环境及固体废物影响较小，施工结束后，各项影响将随之消失。因此选址合理。</w:t>
            </w:r>
          </w:p>
          <w:p>
            <w:pPr>
              <w:pStyle w:val="49"/>
              <w:bidi w:val="0"/>
              <w:jc w:val="center"/>
              <w:rPr>
                <w:rFonts w:hint="default" w:ascii="Times New Roman" w:hAnsi="Times New Roman" w:cs="Times New Roman"/>
                <w:color w:val="auto"/>
                <w:lang w:val="en-US" w:eastAsia="zh-CN"/>
              </w:rPr>
            </w:pPr>
          </w:p>
        </w:tc>
      </w:tr>
    </w:tbl>
    <w:p>
      <w:pPr>
        <w:pStyle w:val="7"/>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五、主要生态环境保护措施</w:t>
      </w:r>
    </w:p>
    <w:tbl>
      <w:tblPr>
        <w:tblStyle w:val="28"/>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86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2" w:hRule="atLeast"/>
          <w:jc w:val="center"/>
        </w:trPr>
        <w:tc>
          <w:tcPr>
            <w:tcW w:w="738" w:type="dxa"/>
            <w:vAlign w:val="center"/>
          </w:tcPr>
          <w:p>
            <w:pPr>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施工期生态环境保护措施</w:t>
            </w:r>
          </w:p>
        </w:tc>
        <w:tc>
          <w:tcPr>
            <w:tcW w:w="8616" w:type="dxa"/>
            <w:vMerge w:val="restart"/>
            <w:vAlign w:val="center"/>
          </w:tcPr>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1.施工期生态环境保护措施</w:t>
            </w:r>
          </w:p>
          <w:p>
            <w:pPr>
              <w:pStyle w:val="49"/>
              <w:bidi w:val="0"/>
              <w:rPr>
                <w:rFonts w:hint="default" w:ascii="Times New Roman" w:hAnsi="Times New Roman" w:cs="Times New Roman"/>
                <w:b/>
                <w:bCs/>
                <w:color w:val="auto"/>
                <w:lang w:val="en-US" w:eastAsia="zh-CN"/>
              </w:rPr>
            </w:pPr>
            <w:r>
              <w:rPr>
                <w:rFonts w:hint="eastAsia" w:cs="Times New Roman"/>
                <w:b/>
                <w:bCs/>
                <w:color w:val="auto"/>
                <w:lang w:val="en-US" w:eastAsia="zh-CN"/>
              </w:rPr>
              <w:t>1.1</w:t>
            </w:r>
            <w:r>
              <w:rPr>
                <w:rFonts w:hint="default" w:ascii="Times New Roman" w:hAnsi="Times New Roman" w:cs="Times New Roman"/>
                <w:b/>
                <w:bCs/>
                <w:color w:val="auto"/>
                <w:lang w:val="en-US" w:eastAsia="zh-CN"/>
              </w:rPr>
              <w:t>生态环境保护措施</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1）施工保护措施</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①项目施工期环境保护措施为避免施工队伍对野生动物的影响及其生态环境的破坏，明确施工用地范围，降低作业带宽度，在各施工区内设置警示牌，标明施工区，禁止施工人员、车辆进入非施工占地区域。</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②在施工期间对施工人员和附近居民加强施工区生态保护的宣传教育，以公告、宣传册等形式，教育施工人员，通过制度化严禁施工人员非法猎捕鸟类、践踏植被等，减轻施工对当地陆生动植物的影响。</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③合理安排施工作业时间。每年春初（4月上旬）、秋末（9月下旬）是保护区候鸟北南迁徙期，如果</w:t>
            </w:r>
            <w:r>
              <w:rPr>
                <w:rFonts w:hint="eastAsia" w:cs="Times New Roman"/>
                <w:b w:val="0"/>
                <w:bCs w:val="0"/>
                <w:color w:val="auto"/>
                <w:lang w:val="en-US" w:eastAsia="zh-CN"/>
              </w:rPr>
              <w:t>有鸟类</w:t>
            </w:r>
            <w:r>
              <w:rPr>
                <w:rFonts w:hint="default" w:ascii="Times New Roman" w:hAnsi="Times New Roman" w:cs="Times New Roman"/>
                <w:b w:val="0"/>
                <w:bCs w:val="0"/>
                <w:color w:val="auto"/>
                <w:lang w:val="en-US" w:eastAsia="zh-CN"/>
              </w:rPr>
              <w:t>途径本项目施工范围，此时施工活动可能会影响鸟类的迁徙和繁殖，因此，施工应避开重点保护鸟类春秋两季停歇时期，尤其是繁殖期。</w:t>
            </w:r>
          </w:p>
          <w:p>
            <w:pPr>
              <w:pStyle w:val="49"/>
              <w:bidi w:val="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2</w:t>
            </w:r>
            <w:r>
              <w:rPr>
                <w:rFonts w:hint="default" w:ascii="Times New Roman" w:hAnsi="Times New Roman" w:cs="Times New Roman"/>
                <w:b/>
                <w:bCs/>
                <w:color w:val="auto"/>
                <w:highlight w:val="none"/>
                <w:lang w:val="en-US" w:eastAsia="zh-CN"/>
              </w:rPr>
              <w:t>）工程占地保护措施</w:t>
            </w:r>
          </w:p>
          <w:p>
            <w:pPr>
              <w:pStyle w:val="49"/>
              <w:bidi w:val="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①</w:t>
            </w:r>
            <w:r>
              <w:rPr>
                <w:rFonts w:hint="eastAsia" w:cs="Times New Roman"/>
                <w:b w:val="0"/>
                <w:bCs w:val="0"/>
                <w:color w:val="auto"/>
                <w:highlight w:val="none"/>
                <w:lang w:val="en-US" w:eastAsia="zh-CN"/>
              </w:rPr>
              <w:t>永久占地：</w:t>
            </w:r>
            <w:r>
              <w:rPr>
                <w:rFonts w:hint="default" w:ascii="Times New Roman" w:hAnsi="Times New Roman" w:cs="Times New Roman"/>
                <w:b w:val="0"/>
                <w:bCs w:val="0"/>
                <w:color w:val="auto"/>
                <w:highlight w:val="none"/>
                <w:lang w:val="en-US" w:eastAsia="zh-CN"/>
              </w:rPr>
              <w:t>施工前作业带场地清理，应注意表层土壤的堆放及防护问题，避免雨天施工，造成水土流失危害并污染周边环境。</w:t>
            </w:r>
          </w:p>
          <w:p>
            <w:pPr>
              <w:pStyle w:val="49"/>
              <w:bidi w:val="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②</w:t>
            </w:r>
            <w:r>
              <w:rPr>
                <w:rFonts w:hint="eastAsia" w:cs="Times New Roman"/>
                <w:b w:val="0"/>
                <w:bCs w:val="0"/>
                <w:color w:val="auto"/>
                <w:highlight w:val="none"/>
                <w:lang w:val="en-US" w:eastAsia="zh-CN"/>
              </w:rPr>
              <w:t>临时占地：包括施工临建设施（综合加工厂及仓库、机械停放场、临时堆料场及临时办公生活区）、吊装场地、架空线路安装临时用地、施工道路、直埋电缆沟和堆场等。</w:t>
            </w:r>
            <w:r>
              <w:rPr>
                <w:rFonts w:hint="default" w:ascii="Times New Roman" w:hAnsi="Times New Roman" w:cs="Times New Roman"/>
                <w:b w:val="0"/>
                <w:bCs w:val="0"/>
                <w:color w:val="auto"/>
                <w:highlight w:val="none"/>
                <w:lang w:val="en-US" w:eastAsia="zh-CN"/>
              </w:rPr>
              <w:t>施工结束后及时进行复垦改造</w:t>
            </w:r>
            <w:r>
              <w:rPr>
                <w:rFonts w:hint="eastAsia" w:cs="Times New Roman"/>
                <w:b w:val="0"/>
                <w:bCs w:val="0"/>
                <w:color w:val="auto"/>
                <w:highlight w:val="none"/>
                <w:lang w:val="en-US" w:eastAsia="zh-CN"/>
              </w:rPr>
              <w:t>，</w:t>
            </w:r>
            <w:r>
              <w:rPr>
                <w:rFonts w:hint="default" w:ascii="Times New Roman" w:hAnsi="Times New Roman" w:cs="Times New Roman"/>
                <w:b w:val="0"/>
                <w:bCs w:val="0"/>
                <w:color w:val="auto"/>
                <w:highlight w:val="none"/>
                <w:lang w:val="en-US" w:eastAsia="zh-CN"/>
              </w:rPr>
              <w:t>临时用地使用完毕后，立即实施复垦、复绿措施；加强临时性工程占地复垦的监理工作</w:t>
            </w:r>
            <w:r>
              <w:rPr>
                <w:rFonts w:hint="eastAsia" w:cs="Times New Roman"/>
                <w:b w:val="0"/>
                <w:bCs w:val="0"/>
                <w:color w:val="auto"/>
                <w:highlight w:val="none"/>
                <w:lang w:val="en-US" w:eastAsia="zh-CN"/>
              </w:rPr>
              <w:t>。</w:t>
            </w:r>
          </w:p>
          <w:p>
            <w:pPr>
              <w:pStyle w:val="49"/>
              <w:bidi w:val="0"/>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fldChar w:fldCharType="begin"/>
            </w:r>
            <w:r>
              <w:rPr>
                <w:rFonts w:hint="default" w:ascii="Times New Roman" w:hAnsi="Times New Roman" w:cs="Times New Roman"/>
                <w:b w:val="0"/>
                <w:bCs w:val="0"/>
                <w:color w:val="auto"/>
                <w:highlight w:val="none"/>
                <w:lang w:val="en-US" w:eastAsia="zh-CN"/>
              </w:rPr>
              <w:instrText xml:space="preserve"> = 3 \* GB3 \* MERGEFORMAT </w:instrText>
            </w:r>
            <w:r>
              <w:rPr>
                <w:rFonts w:hint="default" w:ascii="Times New Roman" w:hAnsi="Times New Roman" w:cs="Times New Roman"/>
                <w:b w:val="0"/>
                <w:bCs w:val="0"/>
                <w:color w:val="auto"/>
                <w:highlight w:val="none"/>
                <w:lang w:val="en-US" w:eastAsia="zh-CN"/>
              </w:rPr>
              <w:fldChar w:fldCharType="separate"/>
            </w:r>
            <w:r>
              <w:rPr>
                <w:color w:val="auto"/>
                <w:highlight w:val="none"/>
              </w:rPr>
              <w:t>③</w:t>
            </w:r>
            <w:r>
              <w:rPr>
                <w:rFonts w:hint="default" w:ascii="Times New Roman" w:hAnsi="Times New Roman" w:cs="Times New Roman"/>
                <w:b w:val="0"/>
                <w:bCs w:val="0"/>
                <w:color w:val="auto"/>
                <w:highlight w:val="none"/>
                <w:lang w:val="en-US" w:eastAsia="zh-CN"/>
              </w:rPr>
              <w:fldChar w:fldCharType="end"/>
            </w:r>
            <w:r>
              <w:rPr>
                <w:rFonts w:hint="eastAsia" w:cs="Times New Roman"/>
                <w:b w:val="0"/>
                <w:bCs w:val="0"/>
                <w:color w:val="auto"/>
                <w:highlight w:val="none"/>
                <w:lang w:val="en-US" w:eastAsia="zh-CN"/>
              </w:rPr>
              <w:t>项目通过科学选址，合理规划风机点位，充分利用现有道路，合理设置场内道路宽度，科学布置施工场地，制定合理的施工方案，加强施工管理减少临时占地，严禁施工车辆随意乱行等，可有效减少项目占地，降低项目建设对区域生态环境的破坏。</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3）植被保护和恢复措施</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⑴避让措施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生态影响的避免就是采取适当的措施，如更改项目选址、工程设计、施工方案、变更项目规模等，尽可能在最大程度上避免项目造成的不利影响。根据本项目的特点，建议以下生</w:t>
            </w:r>
            <w:r>
              <w:rPr>
                <w:rFonts w:hint="eastAsia" w:cs="Times New Roman"/>
                <w:b w:val="0"/>
                <w:bCs w:val="0"/>
                <w:color w:val="auto"/>
                <w:lang w:val="en-US" w:eastAsia="zh-CN"/>
              </w:rPr>
              <w:t>态</w:t>
            </w:r>
            <w:r>
              <w:rPr>
                <w:rFonts w:hint="default" w:ascii="Times New Roman" w:hAnsi="Times New Roman" w:cs="Times New Roman"/>
                <w:b w:val="0"/>
                <w:bCs w:val="0"/>
                <w:color w:val="auto"/>
                <w:lang w:val="en-US" w:eastAsia="zh-CN"/>
              </w:rPr>
              <w:t xml:space="preserve">影响的避免措施：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①优化施工道路的布设，尽可能利用原有便道作施工道路。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②对施工人员进行文明施工和环保知识培训，控制施工人员的活动范围，规定运输路线，不得踩踏野生植物、现有自然植被和人工植被。</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fldChar w:fldCharType="begin"/>
            </w:r>
            <w:r>
              <w:rPr>
                <w:rFonts w:hint="default" w:ascii="Times New Roman" w:hAnsi="Times New Roman" w:cs="Times New Roman"/>
                <w:b w:val="0"/>
                <w:bCs w:val="0"/>
                <w:color w:val="auto"/>
                <w:lang w:val="en-US" w:eastAsia="zh-CN"/>
              </w:rPr>
              <w:instrText xml:space="preserve"> = 3 \* GB3 \* MERGEFORMAT </w:instrText>
            </w:r>
            <w:r>
              <w:rPr>
                <w:rFonts w:hint="default" w:ascii="Times New Roman" w:hAnsi="Times New Roman" w:cs="Times New Roman"/>
                <w:b w:val="0"/>
                <w:bCs w:val="0"/>
                <w:color w:val="auto"/>
                <w:lang w:val="en-US" w:eastAsia="zh-CN"/>
              </w:rPr>
              <w:fldChar w:fldCharType="separate"/>
            </w:r>
            <w:r>
              <w:rPr>
                <w:rFonts w:hint="default" w:ascii="Times New Roman" w:hAnsi="Times New Roman" w:cs="Times New Roman"/>
                <w:b w:val="0"/>
                <w:bCs w:val="0"/>
                <w:color w:val="auto"/>
                <w:lang w:val="en-US" w:eastAsia="zh-CN"/>
              </w:rPr>
              <w:t>③</w:t>
            </w:r>
            <w:r>
              <w:rPr>
                <w:rFonts w:hint="default" w:ascii="Times New Roman" w:hAnsi="Times New Roman" w:cs="Times New Roman"/>
                <w:b w:val="0"/>
                <w:bCs w:val="0"/>
                <w:color w:val="auto"/>
                <w:lang w:val="en-US" w:eastAsia="zh-CN"/>
              </w:rPr>
              <w:fldChar w:fldCharType="end"/>
            </w:r>
            <w:r>
              <w:rPr>
                <w:rFonts w:hint="default" w:ascii="Times New Roman" w:hAnsi="Times New Roman" w:cs="Times New Roman"/>
                <w:b w:val="0"/>
                <w:bCs w:val="0"/>
                <w:color w:val="auto"/>
                <w:lang w:val="en-US" w:eastAsia="zh-CN"/>
              </w:rPr>
              <w:t>施工及监理方严格落实以上两条避免措施。</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⑵减缓措施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为降低对区域植被资源的破坏，在施工期采取了多项生态保护措施以及加强施工管理、保证工程质量等，以缓解对植被资源的破坏，并使局部地段的生态环境向有利的方面转化，达到既发展经济，又保护生态的目的，具体减缓措施如下：</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①在项目区内设置警示标牌，严禁用地范围外的林木造成破坏，减少施工人员在施工区以外活动，尽可能保护现有植被，凡因项目施工引起的生物量损失，尽可能采取生态恢复或生态补偿措施。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②严格控制施工范围，运输车辆均行驶在施工作业带内，严禁扰动施工活动以外的区域，并在施工场地设置指示牌、警示标牌。施工材料应堆放在</w:t>
            </w:r>
            <w:r>
              <w:rPr>
                <w:rFonts w:hint="eastAsia" w:cs="Times New Roman"/>
                <w:b w:val="0"/>
                <w:bCs w:val="0"/>
                <w:color w:val="auto"/>
                <w:lang w:val="en-US" w:eastAsia="zh-CN"/>
              </w:rPr>
              <w:t>施工</w:t>
            </w:r>
            <w:r>
              <w:rPr>
                <w:rFonts w:hint="default" w:ascii="Times New Roman" w:hAnsi="Times New Roman" w:cs="Times New Roman"/>
                <w:b w:val="0"/>
                <w:bCs w:val="0"/>
                <w:color w:val="auto"/>
                <w:lang w:val="en-US" w:eastAsia="zh-CN"/>
              </w:rPr>
              <w:t xml:space="preserve">用地范围以内，避免对永久用地范围以外的植被及表土产生扰动。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③尽可能利用原有便道，减少通道的开辟，以减少对植被的破坏。</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④采取规范的管理措施。在整个施工期内，由项目监理部门和建设部门的环保专职人员临时承担生态监理，采用巡检、旁站和信访等监理方式，检查生态保护措施的落实及施工人员的生态保护行为。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⑥项目运营期，要强化对维护人员的生态保护意识教育，并严格管理，禁止滥采滥挖，严格禁止车窗抛物，避免因此导致的场内道路沿线自然植被和生态系统的破坏。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 xml:space="preserve">⑦合理组织施工，优化进度安排，缩短施工时间，将施工活动范围及期限降至最小，以减少施工对生态环境的负面影响。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⑶恢复与补偿措施</w:t>
            </w:r>
          </w:p>
          <w:p>
            <w:pPr>
              <w:pStyle w:val="49"/>
              <w:bidi w:val="0"/>
              <w:rPr>
                <w:rFonts w:hint="eastAsia" w:cs="Times New Roman"/>
                <w:b w:val="0"/>
                <w:bCs w:val="0"/>
                <w:color w:val="auto"/>
                <w:lang w:val="en-US" w:eastAsia="zh-CN"/>
              </w:rPr>
            </w:pPr>
            <w:r>
              <w:rPr>
                <w:rFonts w:hint="eastAsia" w:cs="Times New Roman"/>
                <w:b w:val="0"/>
                <w:bCs w:val="0"/>
                <w:color w:val="auto"/>
                <w:lang w:val="en-US" w:eastAsia="zh-CN"/>
              </w:rPr>
              <w:t>恢复措施：</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①</w:t>
            </w:r>
            <w:r>
              <w:rPr>
                <w:rFonts w:hint="eastAsia" w:cs="Times New Roman"/>
                <w:b w:val="0"/>
                <w:bCs w:val="0"/>
                <w:color w:val="auto"/>
                <w:lang w:val="en-US" w:eastAsia="zh-CN"/>
              </w:rPr>
              <w:t>项目</w:t>
            </w:r>
            <w:r>
              <w:rPr>
                <w:rFonts w:hint="default" w:ascii="Times New Roman" w:hAnsi="Times New Roman" w:cs="Times New Roman"/>
                <w:b w:val="0"/>
                <w:bCs w:val="0"/>
                <w:color w:val="auto"/>
                <w:lang w:val="en-US" w:eastAsia="zh-CN"/>
              </w:rPr>
              <w:t xml:space="preserve">施工时，在允许条件下应将开挖表土单独保存，待工程施工结束后再用于临时用地区植被恢复。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②对于施工</w:t>
            </w:r>
            <w:r>
              <w:rPr>
                <w:rFonts w:hint="eastAsia" w:cs="Times New Roman"/>
                <w:b w:val="0"/>
                <w:bCs w:val="0"/>
                <w:color w:val="auto"/>
                <w:lang w:val="en-US" w:eastAsia="zh-CN"/>
              </w:rPr>
              <w:t>生活区等临时用地区域，</w:t>
            </w:r>
            <w:r>
              <w:rPr>
                <w:rFonts w:hint="default" w:ascii="Times New Roman" w:hAnsi="Times New Roman" w:cs="Times New Roman"/>
                <w:b w:val="0"/>
                <w:bCs w:val="0"/>
                <w:color w:val="auto"/>
                <w:lang w:val="en-US" w:eastAsia="zh-CN"/>
              </w:rPr>
              <w:t xml:space="preserve">在工程完工后应清除施工迹地的各种建筑垃圾和生活垃圾。 </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③建设项目施工结束后，应立即进行植被恢复，依据工程设计方案对建设范围内进行全方位的植被恢复，以乡土树种为主，采用乔灌草结合方式进行植被恢复。对</w:t>
            </w:r>
            <w:r>
              <w:rPr>
                <w:rFonts w:hint="eastAsia" w:cs="Times New Roman"/>
                <w:b w:val="0"/>
                <w:bCs w:val="0"/>
                <w:color w:val="auto"/>
                <w:lang w:val="en-US" w:eastAsia="zh-CN"/>
              </w:rPr>
              <w:t>弃土场</w:t>
            </w:r>
            <w:r>
              <w:rPr>
                <w:rFonts w:hint="default" w:ascii="Times New Roman" w:hAnsi="Times New Roman" w:cs="Times New Roman"/>
                <w:b w:val="0"/>
                <w:bCs w:val="0"/>
                <w:color w:val="auto"/>
                <w:lang w:val="en-US" w:eastAsia="zh-CN"/>
              </w:rPr>
              <w:t>临时用地等区域进行人工撒播灌草种子促进植被恢复。加强项目后期的生态抚育与管理，保障受损植物以及恢复植被的成活与生态效果。</w:t>
            </w:r>
          </w:p>
          <w:p>
            <w:pPr>
              <w:pStyle w:val="49"/>
              <w:bidi w:val="0"/>
              <w:rPr>
                <w:rFonts w:hint="default" w:ascii="Times New Roman" w:hAnsi="Times New Roman" w:cs="Times New Roman"/>
                <w:b/>
                <w:bCs/>
                <w:color w:val="auto"/>
                <w:lang w:val="en-US" w:eastAsia="zh-CN"/>
              </w:rPr>
            </w:pPr>
            <w:r>
              <w:rPr>
                <w:rFonts w:hint="eastAsia" w:cs="Times New Roman"/>
                <w:b/>
                <w:bCs/>
                <w:color w:val="auto"/>
                <w:lang w:val="en-US" w:eastAsia="zh-CN"/>
              </w:rPr>
              <w:t>1.2</w:t>
            </w:r>
            <w:r>
              <w:rPr>
                <w:rFonts w:hint="default" w:ascii="Times New Roman" w:hAnsi="Times New Roman" w:cs="Times New Roman"/>
                <w:b/>
                <w:bCs/>
                <w:color w:val="auto"/>
                <w:lang w:val="en-US" w:eastAsia="zh-CN"/>
              </w:rPr>
              <w:t>土壤保护措施</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①明确作业区范围，各种施工活动应严格控制在施工红线内，尽量减少扰动面积。</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②土方开挖后应及时回填，清理的建筑垃圾和生活垃圾应及时用遮盖篷布的密闭车辆运至市政规定的建筑垃圾堆放场和生活垃圾填埋场，不得随意堆放。</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③对表层土实行分层堆放和分层回填，表层土回填于上部，尽量减小因土壤回填活动对土壤养分造成的流失影响。</w:t>
            </w:r>
          </w:p>
          <w:p>
            <w:pPr>
              <w:pStyle w:val="49"/>
              <w:bidi w:val="0"/>
              <w:rPr>
                <w:rFonts w:hint="default" w:ascii="Times New Roman" w:hAnsi="Times New Roman" w:cs="Times New Roman"/>
                <w:b/>
                <w:bCs/>
                <w:color w:val="auto"/>
                <w:lang w:val="en-US" w:eastAsia="zh-CN"/>
              </w:rPr>
            </w:pPr>
            <w:r>
              <w:rPr>
                <w:rFonts w:hint="eastAsia" w:cs="Times New Roman"/>
                <w:b/>
                <w:bCs/>
                <w:color w:val="auto"/>
                <w:lang w:val="en-US" w:eastAsia="zh-CN"/>
              </w:rPr>
              <w:t>1.3</w:t>
            </w:r>
            <w:r>
              <w:rPr>
                <w:rFonts w:hint="default" w:ascii="Times New Roman" w:hAnsi="Times New Roman" w:cs="Times New Roman"/>
                <w:b/>
                <w:bCs/>
                <w:color w:val="auto"/>
                <w:lang w:val="en-US" w:eastAsia="zh-CN"/>
              </w:rPr>
              <w:t>陆生生态保护措施</w:t>
            </w:r>
          </w:p>
          <w:p>
            <w:pPr>
              <w:pStyle w:val="49"/>
              <w:bidi w:val="0"/>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施工期项目应优化施工布置，尽量减少因施工机械碾压和人为破坏引起的植被损失。施工过程中应合理安排施工区，尽量不占用施工区外土地，缩小施工范围，减少对地表植被的扰动和破坏，将对植被的影响程度降至最小。施工完成后，及时对场地进行清理，对地表植被进行恢复。水源涵养和水土保持工程在施工时，开挖的表土应单独堆放，并用防尘网进行苫盖，以利后续绿化。</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b w:val="0"/>
                <w:bCs w:val="0"/>
                <w:color w:val="auto"/>
                <w:lang w:val="en-US" w:eastAsia="zh-CN"/>
              </w:rPr>
              <w:t>施工范围严格控制在施工场地内，高噪声设备施工时须采取有效的降噪措施，减少对周围动物的影响。</w:t>
            </w:r>
          </w:p>
          <w:p>
            <w:pPr>
              <w:pStyle w:val="49"/>
              <w:bidi w:val="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弃</w:t>
            </w:r>
            <w:r>
              <w:rPr>
                <w:rFonts w:hint="default" w:ascii="Times New Roman" w:hAnsi="Times New Roman" w:cs="Times New Roman"/>
                <w:b/>
                <w:bCs/>
                <w:color w:val="auto"/>
                <w:highlight w:val="none"/>
                <w:lang w:val="en-US" w:eastAsia="zh-CN"/>
              </w:rPr>
              <w:t>土区</w:t>
            </w:r>
            <w:r>
              <w:rPr>
                <w:rFonts w:hint="eastAsia" w:cs="Times New Roman"/>
                <w:b/>
                <w:bCs/>
                <w:color w:val="auto"/>
                <w:highlight w:val="none"/>
                <w:lang w:val="en-US" w:eastAsia="zh-CN"/>
              </w:rPr>
              <w:t>（沙坑和废弃沟道）</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1）表土剥离、表土回覆：主体设计对</w:t>
            </w:r>
            <w:r>
              <w:rPr>
                <w:rFonts w:hint="eastAsia" w:cs="Times New Roman"/>
                <w:color w:val="auto"/>
                <w:highlight w:val="none"/>
                <w:lang w:val="en-US" w:eastAsia="zh-CN"/>
              </w:rPr>
              <w:t>弃土区、风机基础、箱变基础</w:t>
            </w:r>
            <w:r>
              <w:rPr>
                <w:rFonts w:hint="default" w:ascii="Times New Roman" w:hAnsi="Times New Roman" w:cs="Times New Roman"/>
                <w:color w:val="auto"/>
                <w:highlight w:val="none"/>
                <w:lang w:val="en-US" w:eastAsia="zh-CN"/>
              </w:rPr>
              <w:t>占地范围内部分可剥离表土进行剥离，剥离表土采取</w:t>
            </w:r>
            <w:r>
              <w:rPr>
                <w:rFonts w:hint="eastAsia" w:cs="Times New Roman"/>
                <w:color w:val="auto"/>
                <w:highlight w:val="none"/>
                <w:lang w:val="en-US" w:eastAsia="zh-CN"/>
              </w:rPr>
              <w:t>就近</w:t>
            </w:r>
            <w:r>
              <w:rPr>
                <w:rFonts w:hint="default" w:ascii="Times New Roman" w:hAnsi="Times New Roman" w:cs="Times New Roman"/>
                <w:color w:val="auto"/>
                <w:highlight w:val="none"/>
                <w:lang w:val="en-US" w:eastAsia="zh-CN"/>
              </w:rPr>
              <w:t>集中堆放，后期用于覆土绿化</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表土回覆可以有利于植物快速生长。</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2）机械土地整治：根据主体设计，施工结束后，对</w:t>
            </w:r>
            <w:r>
              <w:rPr>
                <w:rFonts w:hint="eastAsia" w:cs="Times New Roman"/>
                <w:color w:val="auto"/>
                <w:highlight w:val="none"/>
                <w:lang w:val="en-US" w:eastAsia="zh-CN"/>
              </w:rPr>
              <w:t>弃</w:t>
            </w:r>
            <w:r>
              <w:rPr>
                <w:rFonts w:hint="default" w:ascii="Times New Roman" w:hAnsi="Times New Roman" w:cs="Times New Roman"/>
                <w:color w:val="auto"/>
                <w:highlight w:val="none"/>
                <w:lang w:val="en-US" w:eastAsia="zh-CN"/>
              </w:rPr>
              <w:t>土区占地进行土地整治</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整地方式为机械结合人工土地整治，机械翻地松土，施工方式采用人工施农家肥，整地深度30cm。</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3）土埂拦挡：</w:t>
            </w:r>
            <w:r>
              <w:rPr>
                <w:rFonts w:hint="eastAsia" w:cs="Times New Roman"/>
                <w:color w:val="auto"/>
                <w:highlight w:val="none"/>
                <w:lang w:val="en-US" w:eastAsia="zh-CN"/>
              </w:rPr>
              <w:t>弃</w:t>
            </w:r>
            <w:r>
              <w:rPr>
                <w:rFonts w:hint="default" w:ascii="Times New Roman" w:hAnsi="Times New Roman" w:cs="Times New Roman"/>
                <w:color w:val="auto"/>
                <w:highlight w:val="none"/>
                <w:lang w:val="en-US" w:eastAsia="zh-CN"/>
              </w:rPr>
              <w:t>土</w:t>
            </w:r>
            <w:r>
              <w:rPr>
                <w:rFonts w:hint="eastAsia" w:cs="Times New Roman"/>
                <w:color w:val="auto"/>
                <w:highlight w:val="none"/>
                <w:lang w:val="en-US" w:eastAsia="zh-CN"/>
              </w:rPr>
              <w:t>区</w:t>
            </w:r>
            <w:r>
              <w:rPr>
                <w:rFonts w:hint="default" w:ascii="Times New Roman" w:hAnsi="Times New Roman" w:cs="Times New Roman"/>
                <w:color w:val="auto"/>
                <w:highlight w:val="none"/>
                <w:lang w:val="en-US" w:eastAsia="zh-CN"/>
              </w:rPr>
              <w:t>周围采用梯形式土埂进行拦挡，梯形土埂高1-2m，边坡1:1，土埂外坡进行拍瓷压实，形成结皮，防止水土流失</w:t>
            </w:r>
            <w:r>
              <w:rPr>
                <w:rFonts w:hint="eastAsia" w:cs="Times New Roman"/>
                <w:color w:val="auto"/>
                <w:highlight w:val="none"/>
                <w:lang w:val="en-US" w:eastAsia="zh-CN"/>
              </w:rPr>
              <w:t>。</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4）栽植柠条：</w:t>
            </w:r>
            <w:r>
              <w:rPr>
                <w:rFonts w:hint="eastAsia" w:cs="Times New Roman"/>
                <w:color w:val="auto"/>
                <w:highlight w:val="none"/>
                <w:lang w:val="en-US" w:eastAsia="zh-CN"/>
              </w:rPr>
              <w:t>弃</w:t>
            </w:r>
            <w:r>
              <w:rPr>
                <w:rFonts w:hint="default" w:ascii="Times New Roman" w:hAnsi="Times New Roman" w:cs="Times New Roman"/>
                <w:color w:val="auto"/>
                <w:highlight w:val="none"/>
                <w:lang w:val="en-US" w:eastAsia="zh-CN"/>
              </w:rPr>
              <w:t>土区占地为</w:t>
            </w:r>
            <w:r>
              <w:rPr>
                <w:rFonts w:hint="eastAsia" w:cs="Times New Roman"/>
                <w:color w:val="auto"/>
                <w:highlight w:val="none"/>
                <w:lang w:val="en-US" w:eastAsia="zh-CN"/>
              </w:rPr>
              <w:t>林地和草地</w:t>
            </w:r>
            <w:r>
              <w:rPr>
                <w:rFonts w:hint="default" w:ascii="Times New Roman" w:hAnsi="Times New Roman" w:cs="Times New Roman"/>
                <w:color w:val="auto"/>
                <w:highlight w:val="none"/>
                <w:lang w:val="en-US" w:eastAsia="zh-CN"/>
              </w:rPr>
              <w:t>，施工结束后进行栽植扁穗冰草和紫花苜蓿</w:t>
            </w:r>
            <w:r>
              <w:rPr>
                <w:rFonts w:hint="eastAsia" w:cs="Times New Roman"/>
                <w:color w:val="auto"/>
                <w:highlight w:val="none"/>
                <w:lang w:val="en-US" w:eastAsia="zh-CN"/>
              </w:rPr>
              <w:t>等</w:t>
            </w:r>
            <w:r>
              <w:rPr>
                <w:rFonts w:hint="default" w:ascii="Times New Roman" w:hAnsi="Times New Roman" w:cs="Times New Roman"/>
                <w:color w:val="auto"/>
                <w:highlight w:val="none"/>
                <w:lang w:val="en-US" w:eastAsia="zh-CN"/>
              </w:rPr>
              <w:t>恢复生态，栽植面积根据实际占用面积而定。</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5）纤维网苫盖：</w:t>
            </w:r>
            <w:r>
              <w:rPr>
                <w:rFonts w:hint="eastAsia" w:cs="Times New Roman"/>
                <w:color w:val="auto"/>
                <w:highlight w:val="none"/>
                <w:lang w:val="en-US" w:eastAsia="zh-CN"/>
              </w:rPr>
              <w:t>弃</w:t>
            </w:r>
            <w:r>
              <w:rPr>
                <w:rFonts w:hint="default" w:ascii="Times New Roman" w:hAnsi="Times New Roman" w:cs="Times New Roman"/>
                <w:color w:val="auto"/>
                <w:highlight w:val="none"/>
                <w:lang w:val="en-US" w:eastAsia="zh-CN"/>
              </w:rPr>
              <w:t>土</w:t>
            </w:r>
            <w:r>
              <w:rPr>
                <w:rFonts w:hint="eastAsia" w:cs="Times New Roman"/>
                <w:color w:val="auto"/>
                <w:highlight w:val="none"/>
                <w:lang w:val="en-US" w:eastAsia="zh-CN"/>
              </w:rPr>
              <w:t>区</w:t>
            </w:r>
            <w:r>
              <w:rPr>
                <w:rFonts w:hint="default" w:ascii="Times New Roman" w:hAnsi="Times New Roman" w:cs="Times New Roman"/>
                <w:color w:val="auto"/>
                <w:highlight w:val="none"/>
                <w:lang w:val="en-US" w:eastAsia="zh-CN"/>
              </w:rPr>
              <w:t>土方临时堆放，由于临时堆土结构比较松散，易产生扬尘，主体设计采用纤维网对临时堆放的土方进行苫盖措施，纤维网苫盖面积</w:t>
            </w:r>
            <w:r>
              <w:rPr>
                <w:rFonts w:hint="eastAsia" w:cs="Times New Roman"/>
                <w:color w:val="auto"/>
                <w:highlight w:val="none"/>
                <w:lang w:val="en-US" w:eastAsia="zh-CN"/>
              </w:rPr>
              <w:t>视实际情况而定</w:t>
            </w:r>
            <w:r>
              <w:rPr>
                <w:rFonts w:hint="default" w:ascii="Times New Roman" w:hAnsi="Times New Roman" w:cs="Times New Roman"/>
                <w:color w:val="auto"/>
                <w:highlight w:val="none"/>
                <w:lang w:val="en-US" w:eastAsia="zh-CN"/>
              </w:rPr>
              <w:t>。</w:t>
            </w:r>
          </w:p>
          <w:p>
            <w:pPr>
              <w:pStyle w:val="49"/>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施工</w:t>
            </w:r>
            <w:r>
              <w:rPr>
                <w:rFonts w:hint="eastAsia" w:cs="Times New Roman"/>
                <w:b/>
                <w:bCs/>
                <w:color w:val="auto"/>
                <w:highlight w:val="none"/>
                <w:lang w:val="en-US" w:eastAsia="zh-CN"/>
              </w:rPr>
              <w:t>营地</w:t>
            </w:r>
          </w:p>
          <w:p>
            <w:pPr>
              <w:pStyle w:val="49"/>
              <w:bidi w:val="0"/>
              <w:rPr>
                <w:rFonts w:hint="eastAsia" w:cs="Times New Roman"/>
                <w:color w:val="auto"/>
                <w:lang w:val="en-US" w:eastAsia="zh-CN"/>
              </w:rPr>
            </w:pPr>
            <w:r>
              <w:rPr>
                <w:rFonts w:hint="eastAsia" w:cs="Times New Roman"/>
                <w:color w:val="auto"/>
                <w:lang w:val="en-US" w:eastAsia="zh-CN"/>
              </w:rPr>
              <w:t>本项目施工营地员工生活污水主要为洗漱废水，用于施工场地洒水降尘，施工人员设置旱厕如厕，粪便及时清运；施工场地配备沉淀池，机械冲洗废水经沉淀池沉淀后回用或用于洒水降尘；施工期生活垃圾集中收集后待施工期结束统一送至环卫部门指定地点；施工期不得随意倾倒或堆放建筑垃圾；施工产生的建筑垃圾须及时清运至市政规定的建筑垃圾堆放点。</w:t>
            </w:r>
          </w:p>
          <w:p>
            <w:pPr>
              <w:pStyle w:val="49"/>
              <w:bidi w:val="0"/>
              <w:rPr>
                <w:rFonts w:hint="default" w:ascii="Times New Roman" w:hAnsi="Times New Roman" w:cs="Times New Roman"/>
                <w:b/>
                <w:bCs/>
                <w:color w:val="auto"/>
              </w:rPr>
            </w:pPr>
            <w:r>
              <w:rPr>
                <w:rFonts w:hint="eastAsia" w:cs="Times New Roman"/>
                <w:b/>
                <w:bCs/>
                <w:color w:val="auto"/>
                <w:lang w:val="en-US" w:eastAsia="zh-CN"/>
              </w:rPr>
              <w:t>1.4</w:t>
            </w:r>
            <w:r>
              <w:rPr>
                <w:rFonts w:hint="default" w:ascii="Times New Roman" w:hAnsi="Times New Roman" w:cs="Times New Roman"/>
                <w:b/>
                <w:bCs/>
                <w:color w:val="auto"/>
              </w:rPr>
              <w:t>管理措施</w:t>
            </w:r>
          </w:p>
          <w:p>
            <w:pPr>
              <w:pStyle w:val="49"/>
              <w:bidi w:val="0"/>
              <w:rPr>
                <w:rFonts w:hint="default" w:ascii="Times New Roman" w:hAnsi="Times New Roman" w:cs="Times New Roman"/>
                <w:color w:val="auto"/>
              </w:rPr>
            </w:pPr>
            <w:r>
              <w:rPr>
                <w:rFonts w:hint="default" w:ascii="Times New Roman" w:hAnsi="Times New Roman" w:cs="Times New Roman"/>
                <w:color w:val="auto"/>
              </w:rPr>
              <w:t>施工招标时，应明确承包商对施工区域物种多样性以及环境保护的责任和义务</w:t>
            </w:r>
            <w:r>
              <w:rPr>
                <w:rFonts w:hint="default" w:ascii="Times New Roman" w:hAnsi="Times New Roman" w:cs="Times New Roman"/>
                <w:color w:val="auto"/>
                <w:lang w:eastAsia="zh-CN"/>
              </w:rPr>
              <w:t>；</w:t>
            </w:r>
            <w:r>
              <w:rPr>
                <w:rFonts w:hint="default" w:ascii="Times New Roman" w:hAnsi="Times New Roman" w:cs="Times New Roman"/>
                <w:color w:val="auto"/>
              </w:rPr>
              <w:t>在施工过程中加强</w:t>
            </w:r>
            <w:r>
              <w:rPr>
                <w:rFonts w:hint="default" w:ascii="Times New Roman" w:hAnsi="Times New Roman" w:cs="Times New Roman"/>
                <w:color w:val="auto"/>
                <w:lang w:eastAsia="zh-CN"/>
              </w:rPr>
              <w:t>管理</w:t>
            </w:r>
            <w:r>
              <w:rPr>
                <w:rFonts w:hint="default" w:ascii="Times New Roman" w:hAnsi="Times New Roman" w:cs="Times New Roman"/>
                <w:color w:val="auto"/>
              </w:rPr>
              <w:t>，</w:t>
            </w:r>
            <w:r>
              <w:rPr>
                <w:rFonts w:hint="default" w:ascii="Times New Roman" w:hAnsi="Times New Roman" w:cs="Times New Roman"/>
                <w:color w:val="auto"/>
                <w:lang w:eastAsia="zh-CN"/>
              </w:rPr>
              <w:t>严格落实各项环境</w:t>
            </w:r>
            <w:r>
              <w:rPr>
                <w:rFonts w:hint="default" w:ascii="Times New Roman" w:hAnsi="Times New Roman" w:cs="Times New Roman"/>
                <w:color w:val="auto"/>
              </w:rPr>
              <w:t>保护措施，对出现的环境问题及时处理</w:t>
            </w:r>
            <w:r>
              <w:rPr>
                <w:rFonts w:hint="default" w:ascii="Times New Roman" w:hAnsi="Times New Roman" w:cs="Times New Roman"/>
                <w:color w:val="auto"/>
                <w:lang w:eastAsia="zh-CN"/>
              </w:rPr>
              <w:t>；</w:t>
            </w:r>
            <w:r>
              <w:rPr>
                <w:rFonts w:hint="default" w:ascii="Times New Roman" w:hAnsi="Times New Roman" w:cs="Times New Roman"/>
                <w:color w:val="auto"/>
              </w:rPr>
              <w:t>施工单位在进场前，必须制定严格的施工组织和管理细则，作好有关生态环境保护知识和法律宣传工作，在施工区、生活区设置宣传牌，提高施工人员环境保护意识。</w:t>
            </w:r>
          </w:p>
          <w:p>
            <w:pPr>
              <w:pStyle w:val="49"/>
              <w:bidi w:val="0"/>
              <w:rPr>
                <w:rFonts w:hint="default" w:ascii="Times New Roman" w:hAnsi="Times New Roman" w:cs="Times New Roman"/>
                <w:b/>
                <w:bCs/>
                <w:color w:val="auto"/>
                <w:lang w:val="en-US" w:eastAsia="zh-CN"/>
              </w:rPr>
            </w:pPr>
            <w:r>
              <w:rPr>
                <w:rFonts w:hint="eastAsia" w:cs="Times New Roman"/>
                <w:b/>
                <w:bCs/>
                <w:color w:val="auto"/>
                <w:lang w:val="en-US" w:eastAsia="zh-CN"/>
              </w:rPr>
              <w:t>1.5</w:t>
            </w:r>
            <w:r>
              <w:rPr>
                <w:rFonts w:hint="default" w:ascii="Times New Roman" w:hAnsi="Times New Roman" w:cs="Times New Roman"/>
                <w:b/>
                <w:bCs/>
                <w:color w:val="auto"/>
                <w:lang w:val="en-US" w:eastAsia="zh-CN"/>
              </w:rPr>
              <w:t>动物保护措施</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⑴避让措施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①施工场地设置尽量避让植被覆盖度较高的区域，避开动物、爬行类动物及小型哺乳类动物的栖息地。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②选用橙色、红色等色彩比较亮丽、能反射紫外线的涂料，在风机叶片前端部分区域涂抹，以吸引鸟类的注意力，提高警觉性避免白天鸟类撞击风机。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③根据区域内野生动物和鸟类活动的特性，严格落实风电机组布设的间距，在保证项目最大效益的同时考虑野生动物的通道，以及鸟类能在转动风机之间的通行通道。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⑵减缓措施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①施工应采用低噪声机械，尽可能避免所有机械车辆同时运转，降低声波干扰，对无法避免或者无法降低的，应选择在对动物影响最小的时段进行；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②大力宣传相关法律法规，提高施工人员的保护意识，规范施工人员行为，严禁在项目区及其周边捕猎野生动物；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③必须根据野生动物的生活习性，妥善安排各区块的施工时间、范围与施工进度，避开野生动物的敏感期，严禁在野生动物繁殖期开展施工活动；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④施工过程中遇到的幼兽、幼鸟、卵等未发育、未成熟个体，在保护部门的专业人员指导下妥善安置；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⑤合理安排施工组织、施工机械，严格按照施工规范进行操作，施工单位必须选用符合国家标准的施工机械和运输工具，对强噪声源安装控噪装置，减小噪声对野生动物的影响。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⑥夜间灯光容易吸引鸟类撞击，施工期尽量控制光源使用量，对光源进行遮蔽，减少施工光源对外界鸟类栖息繁育的干扰。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⑶恢复与补偿措施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①工程施工结束后尽快做好周边生态环境的恢复工作，适当弥补生境破坏对野生动物造成的不利影响。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②边施工、边绿化，及时在临时占地及其附近开展合理绿化，以人工撒播灌草种子为主，促进区域植被恢复，尽快恢复动物生境。 </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③工程运行后积极开展动物监测和巡护工作，如发现</w:t>
            </w:r>
            <w:r>
              <w:rPr>
                <w:rFonts w:hint="eastAsia" w:cs="Times New Roman"/>
                <w:color w:val="auto"/>
                <w:lang w:val="en-US" w:eastAsia="zh-CN"/>
              </w:rPr>
              <w:t>风机等</w:t>
            </w:r>
            <w:r>
              <w:rPr>
                <w:rFonts w:hint="default" w:ascii="Times New Roman" w:hAnsi="Times New Roman" w:cs="Times New Roman"/>
                <w:color w:val="auto"/>
                <w:lang w:val="en-US" w:eastAsia="zh-CN"/>
              </w:rPr>
              <w:t>运行严重影响到</w:t>
            </w:r>
            <w:r>
              <w:rPr>
                <w:rFonts w:hint="eastAsia" w:cs="Times New Roman"/>
                <w:color w:val="auto"/>
                <w:lang w:val="en-US" w:eastAsia="zh-CN"/>
              </w:rPr>
              <w:t>动物</w:t>
            </w:r>
            <w:r>
              <w:rPr>
                <w:rFonts w:hint="default" w:ascii="Times New Roman" w:hAnsi="Times New Roman" w:cs="Times New Roman"/>
                <w:color w:val="auto"/>
                <w:lang w:val="en-US" w:eastAsia="zh-CN"/>
              </w:rPr>
              <w:t>的生存，应及时采取停运调整布局等措施。</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2.施工</w:t>
            </w:r>
            <w:r>
              <w:rPr>
                <w:rFonts w:hint="eastAsia" w:ascii="Times New Roman" w:hAnsi="Times New Roman" w:cs="Times New Roman"/>
                <w:b/>
                <w:bCs/>
                <w:color w:val="auto"/>
                <w:lang w:val="en-US" w:eastAsia="zh-CN"/>
              </w:rPr>
              <w:t>扬尘</w:t>
            </w:r>
            <w:r>
              <w:rPr>
                <w:rFonts w:hint="default" w:ascii="Times New Roman" w:hAnsi="Times New Roman" w:cs="Times New Roman"/>
                <w:b/>
                <w:bCs/>
                <w:color w:val="auto"/>
                <w:lang w:val="en-US" w:eastAsia="zh-CN"/>
              </w:rPr>
              <w:t>污染防治措施</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施工期扬尘</w:t>
            </w:r>
            <w:r>
              <w:rPr>
                <w:rFonts w:hint="eastAsia" w:cs="Times New Roman"/>
                <w:color w:val="auto"/>
                <w:lang w:val="en-US" w:eastAsia="zh-CN"/>
              </w:rPr>
              <w:t>：</w:t>
            </w:r>
            <w:r>
              <w:rPr>
                <w:rFonts w:hint="default" w:ascii="Times New Roman" w:hAnsi="Times New Roman" w:cs="Times New Roman"/>
                <w:color w:val="auto"/>
                <w:lang w:val="en-US" w:eastAsia="zh-CN"/>
              </w:rPr>
              <w:t>主要来源于各项工程的土方开挖和回填，建筑材料运输、装卸等过程，建筑垃圾和生活垃圾清理等过程给周边大气环境带来一定影响。本项目施工扬尘主要采取以下措施：</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①建筑工地全面落实工地周边围挡、物料堆放覆盖、土方开挖湿法作业、路面硬化、出入车辆清洗、渣土车辆密闭运输“六个百分之百”扬尘防控措施。</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②设置车辆冲洗设施。对土石方转运、物料运输及建筑垃圾清理等车辆在上路前须对车身和车轮进行严格清洗，禁止车辆带泥上路，避免对交通道路造成扬尘污染。</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③必须湿法作业，对施工范围内的各个施工场地、道路、物料及土石方堆场、建筑垃圾临时堆场等易起尘部位要及时洒水抑尘，不准高空抛撒建筑垃圾。干燥、大风天气适当增加洒水频率。</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④对施工道路进行硬化。项目施工期充分利用乡村公路进行运输，没有硬化的道路采取泥结碎石硬化，以减轻道路扬尘污染。</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⑤物料须按需暂存、不得在施工现场大量堆放，建筑垃圾及时拉运至市政规定的建筑垃圾堆放场所，土方及时回填，尽量缩短物料、建筑垃圾、土方的堆放时间。建筑垃圾等无法在48小时内清运完毕的，应当在施工工地内设置临时堆放场，临时堆放场应当利用苫布等采取围挡、遮盖等防尘措施；</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⑥运输物料的车辆应限速，不得超载、冒载，运渣车辆、车箱遮盖严密后方可运出场外，并对运输道路采取定期清扫、洒水，文明施工等措施。</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⑦不准露天搅拌砂浆。项目采用商品混凝土、预拌砂浆，不自行搅拌；</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⑧不准场地积水。若出现场地积水现象，及时抽水排水，并平整路面；</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施工期通过严格采取以上扬尘防治措施，可有效控制施工扬尘对周围环境及保护目标的影响，施工厂界扬尘排放浓度符合《大气污染物综合排放标准》(GB16297-1996)表2中的标准限值，对周围环境影响较小。且随着施工期的结束，该影响也会随之消失。</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施工机械废气</w:t>
            </w:r>
            <w:r>
              <w:rPr>
                <w:rFonts w:hint="eastAsia" w:cs="Times New Roman"/>
                <w:color w:val="auto"/>
                <w:lang w:val="en-US" w:eastAsia="zh-CN"/>
              </w:rPr>
              <w:t>：</w:t>
            </w:r>
            <w:r>
              <w:rPr>
                <w:rFonts w:hint="default" w:ascii="Times New Roman" w:hAnsi="Times New Roman" w:cs="Times New Roman"/>
                <w:color w:val="auto"/>
                <w:lang w:val="en-US" w:eastAsia="zh-CN"/>
              </w:rPr>
              <w:t>施工机械应定期保养，减少废气的产生，施工运输车辆按规定路线行驶，不得破坏施工场地及施工道路以外的植被。</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3.施工期水污染防治措施</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施工期废水主要为机械冲洗废水及施工人员生活污水。废水中污染物成分简单，主要是悬浮物、COD、BOD</w:t>
            </w:r>
            <w:r>
              <w:rPr>
                <w:rFonts w:hint="default" w:ascii="Times New Roman" w:hAnsi="Times New Roman" w:cs="Times New Roman"/>
                <w:color w:val="auto"/>
                <w:vertAlign w:val="subscript"/>
                <w:lang w:val="en-US" w:eastAsia="zh-CN"/>
              </w:rPr>
              <w:t>5</w:t>
            </w:r>
            <w:r>
              <w:rPr>
                <w:rFonts w:hint="default" w:ascii="Times New Roman" w:hAnsi="Times New Roman" w:cs="Times New Roman"/>
                <w:color w:val="auto"/>
                <w:lang w:val="en-US" w:eastAsia="zh-CN"/>
              </w:rPr>
              <w:t>和石油类。采取沉淀池、环保</w:t>
            </w:r>
            <w:r>
              <w:rPr>
                <w:rFonts w:hint="eastAsia" w:cs="Times New Roman"/>
                <w:color w:val="auto"/>
                <w:lang w:val="en-US" w:eastAsia="zh-CN"/>
              </w:rPr>
              <w:t>旱厕</w:t>
            </w:r>
            <w:r>
              <w:rPr>
                <w:rFonts w:hint="default" w:ascii="Times New Roman" w:hAnsi="Times New Roman" w:cs="Times New Roman"/>
                <w:color w:val="auto"/>
                <w:lang w:val="en-US" w:eastAsia="zh-CN"/>
              </w:rPr>
              <w:t>等环保措施，并加强施工期管理。</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（1）施工机械冲洗废水防治措施</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施工场地配备沉淀池，机械冲洗废水经沉淀池沉淀后回用或用于洒水降尘，无废水排放，不会对水环境产生影响。</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（2）生活污水治理措施</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施工期</w:t>
            </w:r>
            <w:r>
              <w:rPr>
                <w:rFonts w:hint="eastAsia" w:cs="Times New Roman"/>
                <w:color w:val="auto"/>
                <w:highlight w:val="none"/>
                <w:lang w:val="en-US" w:eastAsia="zh-CN"/>
              </w:rPr>
              <w:t>生活污水主要为</w:t>
            </w:r>
            <w:r>
              <w:rPr>
                <w:rFonts w:hint="default" w:ascii="Times New Roman" w:hAnsi="Times New Roman" w:cs="Times New Roman"/>
                <w:color w:val="auto"/>
                <w:highlight w:val="none"/>
                <w:lang w:val="en-US" w:eastAsia="zh-CN"/>
              </w:rPr>
              <w:t>洗漱废水</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用于施工场地洒水降尘，施工期建设环保型旱厕供施工人员如厕，</w:t>
            </w:r>
            <w:r>
              <w:rPr>
                <w:rFonts w:hint="eastAsia" w:cs="Times New Roman"/>
                <w:color w:val="auto"/>
                <w:highlight w:val="none"/>
                <w:lang w:val="en-US" w:eastAsia="zh-CN"/>
              </w:rPr>
              <w:t>粪便及时</w:t>
            </w:r>
            <w:r>
              <w:rPr>
                <w:rFonts w:hint="default" w:ascii="Times New Roman" w:hAnsi="Times New Roman" w:cs="Times New Roman"/>
                <w:color w:val="auto"/>
                <w:highlight w:val="none"/>
                <w:lang w:val="en-US" w:eastAsia="zh-CN"/>
              </w:rPr>
              <w:t>清运，对水环境影响较小</w:t>
            </w:r>
            <w:r>
              <w:rPr>
                <w:rFonts w:hint="default" w:ascii="Times New Roman" w:hAnsi="Times New Roman" w:cs="Times New Roman"/>
                <w:color w:val="auto"/>
                <w:highlight w:val="none"/>
              </w:rPr>
              <w:t>。</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4.施工期噪声污染防治措施</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施工期产生的施工和机械噪声等会对场址周边声环境造成一定影响，施工噪声主要是由各种不同性能的动力机械在运转时产生的，如场地开挖、场地平整、打夯、车辆运输等，具有阶段性、临时性和流动性等特点。为降低噪声对周围环境的影响，需要采取一定的降噪措施，具体如下：</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⑴建设招标单位将投标方的低噪声、低振动施工设备和相应技术作为中标的重要内容考虑，将施工过程使用的各类机械及噪声值列入招标文件中；</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⑵施工单位应设专人对施工设备进行定期保养和维护，并负责对现场工作人员进行培训，以便使每个员工严格按操作规范使用各类机械，减少由于施工机械维护不当而产生的噪声；</w:t>
            </w:r>
          </w:p>
          <w:p>
            <w:pPr>
              <w:pStyle w:val="49"/>
              <w:keepNext w:val="0"/>
              <w:keepLines w:val="0"/>
              <w:pageBreakBefore w:val="0"/>
              <w:widowControl w:val="0"/>
              <w:kinsoku/>
              <w:wordWrap/>
              <w:topLinePunct w:val="0"/>
              <w:autoSpaceDE/>
              <w:autoSpaceDN/>
              <w:bidi w:val="0"/>
              <w:adjustRightInd w:val="0"/>
              <w:snapToGrid w:val="0"/>
              <w:spacing w:line="360" w:lineRule="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⑶从规范施工秩序着手，合理安排施工时间，合理布局施工场地，选用良好的施工设备，降低设备声级，降低人为的噪声等减少噪声污染</w:t>
            </w:r>
            <w:r>
              <w:rPr>
                <w:rFonts w:hint="default" w:ascii="Times New Roman" w:hAnsi="Times New Roman" w:cs="Times New Roman"/>
                <w:color w:val="auto"/>
                <w:lang w:eastAsia="zh-CN"/>
              </w:rPr>
              <w:t>。</w:t>
            </w:r>
          </w:p>
          <w:p>
            <w:pPr>
              <w:pStyle w:val="49"/>
              <w:bidi w:val="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5.施工期固体废物污染防治措施</w:t>
            </w:r>
          </w:p>
          <w:p>
            <w:pPr>
              <w:pStyle w:val="49"/>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工程土料需求主要集中基础开挖土方工程，不可用于回填部分作为弃土统一堆放处理。施工产生的建筑垃圾分类收集、回收利用，不能利用部分按照环境卫生主管部门的规定进行处置，工程施工单位不得擅自倾倒、抛撒或者堆放工程施工过程产生的建筑垃圾。生活垃圾收集后定期送至市政部门规定地点拉运处置；建筑垃圾回用于场内检修道路的修筑，不能回用的，送指定的垃圾填埋场处置。</w:t>
            </w:r>
          </w:p>
          <w:p>
            <w:pPr>
              <w:pStyle w:val="49"/>
              <w:bidi w:val="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72"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施工期生态环境保护措施</w:t>
            </w:r>
          </w:p>
        </w:tc>
        <w:tc>
          <w:tcPr>
            <w:tcW w:w="8616" w:type="dxa"/>
            <w:vMerge w:val="continue"/>
            <w:vAlign w:val="center"/>
          </w:tcPr>
          <w:p>
            <w:pPr>
              <w:jc w:val="center"/>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52"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施工期生态环境保护措施</w:t>
            </w:r>
          </w:p>
        </w:tc>
        <w:tc>
          <w:tcPr>
            <w:tcW w:w="8616" w:type="dxa"/>
            <w:vMerge w:val="continue"/>
            <w:vAlign w:val="center"/>
          </w:tcPr>
          <w:p>
            <w:pPr>
              <w:jc w:val="center"/>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72"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施工期生态环境保护措施</w:t>
            </w:r>
          </w:p>
        </w:tc>
        <w:tc>
          <w:tcPr>
            <w:tcW w:w="8616" w:type="dxa"/>
            <w:vMerge w:val="continue"/>
            <w:vAlign w:val="center"/>
          </w:tcPr>
          <w:p>
            <w:pPr>
              <w:jc w:val="center"/>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20"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施工期生态环境保护措施</w:t>
            </w:r>
          </w:p>
        </w:tc>
        <w:tc>
          <w:tcPr>
            <w:tcW w:w="8616" w:type="dxa"/>
            <w:vMerge w:val="continue"/>
            <w:vAlign w:val="center"/>
          </w:tcPr>
          <w:p>
            <w:pPr>
              <w:jc w:val="center"/>
              <w:rPr>
                <w:rFonts w:hint="default" w:ascii="Times New Roman" w:hAnsi="Times New Roman" w:cs="Times New Roman"/>
                <w:b/>
                <w:bCs/>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运营期生态环境保护措施</w:t>
            </w:r>
          </w:p>
        </w:tc>
        <w:tc>
          <w:tcPr>
            <w:tcW w:w="8616" w:type="dxa"/>
            <w:vAlign w:val="center"/>
          </w:tcPr>
          <w:p>
            <w:pPr>
              <w:pStyle w:val="49"/>
              <w:bidi w:val="0"/>
              <w:rPr>
                <w:rFonts w:hint="default" w:ascii="Times New Roman" w:hAnsi="Times New Roman" w:eastAsia="仿宋_GB2312" w:cs="Times New Roman"/>
                <w:b/>
                <w:bCs/>
                <w:color w:val="auto"/>
                <w:highlight w:val="none"/>
                <w:lang w:val="en-US" w:eastAsia="zh-CN"/>
              </w:rPr>
            </w:pPr>
            <w:r>
              <w:rPr>
                <w:rFonts w:hint="eastAsia" w:cs="Times New Roman"/>
                <w:b/>
                <w:bCs/>
                <w:color w:val="auto"/>
                <w:highlight w:val="none"/>
                <w:lang w:val="en-US" w:eastAsia="zh-CN"/>
              </w:rPr>
              <w:t>1.固废保护措施：</w:t>
            </w:r>
          </w:p>
          <w:p>
            <w:pPr>
              <w:pStyle w:val="49"/>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运营期设备检修过程产生的变压器</w:t>
            </w:r>
            <w:r>
              <w:rPr>
                <w:rFonts w:hint="eastAsia" w:cs="Times New Roman"/>
                <w:color w:val="auto"/>
                <w:highlight w:val="none"/>
                <w:lang w:val="en-US" w:eastAsia="zh-CN"/>
              </w:rPr>
              <w:t>废</w:t>
            </w:r>
            <w:r>
              <w:rPr>
                <w:rFonts w:hint="default" w:ascii="Times New Roman" w:hAnsi="Times New Roman" w:cs="Times New Roman"/>
                <w:color w:val="auto"/>
                <w:highlight w:val="none"/>
                <w:lang w:val="en-US" w:eastAsia="zh-CN"/>
              </w:rPr>
              <w:t>油、废润滑油均属于危险废物，营运期箱式变压器发生事故状态下会产生变压器废油，本项目在每座箱式变压器底部均修建防渗事故油池（容积为</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），废变压器油、废润滑油</w:t>
            </w:r>
            <w:r>
              <w:rPr>
                <w:rFonts w:hint="eastAsia" w:cs="Times New Roman"/>
                <w:color w:val="auto"/>
                <w:highlight w:val="none"/>
                <w:lang w:val="en-US" w:eastAsia="zh-CN"/>
              </w:rPr>
              <w:t>集中</w:t>
            </w:r>
            <w:r>
              <w:rPr>
                <w:rFonts w:hint="default" w:ascii="Times New Roman" w:hAnsi="Times New Roman" w:cs="Times New Roman"/>
                <w:color w:val="auto"/>
                <w:highlight w:val="none"/>
                <w:lang w:val="en-US" w:eastAsia="zh-CN"/>
              </w:rPr>
              <w:t>收集后</w:t>
            </w:r>
            <w:r>
              <w:rPr>
                <w:rFonts w:hint="eastAsia" w:cs="Times New Roman"/>
                <w:color w:val="auto"/>
                <w:highlight w:val="none"/>
                <w:lang w:val="en-US" w:eastAsia="zh-CN"/>
              </w:rPr>
              <w:t>直接</w:t>
            </w:r>
            <w:r>
              <w:rPr>
                <w:rFonts w:hint="default" w:ascii="Times New Roman" w:hAnsi="Times New Roman" w:cs="Times New Roman"/>
                <w:color w:val="auto"/>
                <w:highlight w:val="none"/>
                <w:lang w:val="en-US" w:eastAsia="zh-CN"/>
              </w:rPr>
              <w:t>交由有资质单位处置</w:t>
            </w:r>
            <w:r>
              <w:rPr>
                <w:rFonts w:hint="default" w:ascii="Times New Roman" w:hAnsi="Times New Roman" w:cs="Times New Roman"/>
                <w:color w:val="auto"/>
                <w:highlight w:val="none"/>
              </w:rPr>
              <w:t>。</w:t>
            </w:r>
          </w:p>
          <w:p>
            <w:pPr>
              <w:pStyle w:val="49"/>
              <w:bidi w:val="0"/>
              <w:rPr>
                <w:rFonts w:hint="eastAsia"/>
                <w:color w:val="auto"/>
                <w:lang w:val="en-US" w:eastAsia="zh-CN"/>
              </w:rPr>
            </w:pPr>
            <w:r>
              <w:rPr>
                <w:rFonts w:hint="eastAsia"/>
                <w:b/>
                <w:bCs/>
                <w:color w:val="auto"/>
                <w:lang w:val="en-US" w:eastAsia="zh-CN"/>
              </w:rPr>
              <w:t>2.噪声保护措施</w:t>
            </w:r>
          </w:p>
          <w:p>
            <w:pPr>
              <w:pStyle w:val="49"/>
              <w:bidi w:val="0"/>
              <w:rPr>
                <w:rFonts w:hint="eastAsia"/>
                <w:color w:val="auto"/>
                <w:lang w:val="en-US" w:eastAsia="zh-CN"/>
              </w:rPr>
            </w:pPr>
            <w:r>
              <w:rPr>
                <w:rFonts w:hint="eastAsia"/>
                <w:color w:val="auto"/>
                <w:lang w:val="en-US" w:eastAsia="zh-CN"/>
              </w:rPr>
              <w:t>营运期噪声主要来自风机和箱式变压器等产生噪声，加强运营维护以减少设备产生的噪声。</w:t>
            </w:r>
          </w:p>
          <w:p>
            <w:pPr>
              <w:pStyle w:val="49"/>
              <w:bidi w:val="0"/>
              <w:rPr>
                <w:rFonts w:hint="eastAsia"/>
                <w:b/>
                <w:bCs/>
                <w:color w:val="auto"/>
                <w:lang w:eastAsia="zh-CN"/>
              </w:rPr>
            </w:pPr>
            <w:r>
              <w:rPr>
                <w:rFonts w:hint="eastAsia"/>
                <w:b/>
                <w:bCs/>
                <w:color w:val="auto"/>
                <w:lang w:val="en-US" w:eastAsia="zh-CN"/>
              </w:rPr>
              <w:t>3.运营期环境管理</w:t>
            </w:r>
          </w:p>
          <w:p>
            <w:pPr>
              <w:pStyle w:val="49"/>
              <w:bidi w:val="0"/>
              <w:rPr>
                <w:rFonts w:hint="eastAsia"/>
                <w:b/>
                <w:bCs/>
                <w:color w:val="auto"/>
                <w:lang w:eastAsia="zh-CN"/>
              </w:rPr>
            </w:pPr>
            <w:r>
              <w:rPr>
                <w:rFonts w:hint="eastAsia"/>
                <w:b/>
                <w:bCs/>
                <w:color w:val="auto"/>
                <w:lang w:eastAsia="zh-CN"/>
              </w:rPr>
              <w:t>⑴运行期环境管理</w:t>
            </w:r>
          </w:p>
          <w:p>
            <w:pPr>
              <w:pStyle w:val="49"/>
              <w:bidi w:val="0"/>
              <w:rPr>
                <w:rFonts w:hint="eastAsia"/>
                <w:color w:val="auto"/>
                <w:lang w:eastAsia="zh-CN"/>
              </w:rPr>
            </w:pPr>
            <w:r>
              <w:rPr>
                <w:rFonts w:hint="eastAsia"/>
                <w:color w:val="auto"/>
                <w:lang w:eastAsia="zh-CN"/>
              </w:rPr>
              <w:t>运行单位须设环境管理部门，配备相应的环境管理人员以不少于1人为宜，环境管理人员应在各自的岗位责任制中明确所负的环保责任。监督国家法规、条例的贯彻执行情况，制订和贯彻环保管理制度，监控本项目主要污染源，对各部门、操作岗位进行环境保护监督和管理。</w:t>
            </w:r>
          </w:p>
          <w:p>
            <w:pPr>
              <w:pStyle w:val="49"/>
              <w:bidi w:val="0"/>
              <w:rPr>
                <w:rFonts w:hint="eastAsia"/>
                <w:color w:val="auto"/>
                <w:lang w:eastAsia="zh-CN"/>
              </w:rPr>
            </w:pPr>
            <w:r>
              <w:rPr>
                <w:rFonts w:hint="eastAsia"/>
                <w:color w:val="auto"/>
                <w:lang w:eastAsia="zh-CN"/>
              </w:rPr>
              <w:t>①制定和实施各项环境管理计划。</w:t>
            </w:r>
          </w:p>
          <w:p>
            <w:pPr>
              <w:pStyle w:val="49"/>
              <w:bidi w:val="0"/>
              <w:rPr>
                <w:rFonts w:hint="eastAsia"/>
                <w:color w:val="auto"/>
                <w:lang w:eastAsia="zh-CN"/>
              </w:rPr>
            </w:pPr>
            <w:r>
              <w:rPr>
                <w:rFonts w:hint="eastAsia"/>
                <w:color w:val="auto"/>
                <w:lang w:eastAsia="zh-CN"/>
              </w:rPr>
              <w:t>②建立噪声环境监测。</w:t>
            </w:r>
          </w:p>
          <w:p>
            <w:pPr>
              <w:pStyle w:val="49"/>
              <w:bidi w:val="0"/>
              <w:rPr>
                <w:rFonts w:hint="eastAsia"/>
                <w:color w:val="auto"/>
                <w:lang w:eastAsia="zh-CN"/>
              </w:rPr>
            </w:pPr>
            <w:r>
              <w:rPr>
                <w:rFonts w:hint="eastAsia"/>
                <w:color w:val="auto"/>
                <w:lang w:eastAsia="zh-CN"/>
              </w:rPr>
              <w:t>③检查环境保护设施运行情况，及时处理出现的问题，保证环保设施正常运行。</w:t>
            </w:r>
          </w:p>
          <w:p>
            <w:pPr>
              <w:pStyle w:val="49"/>
              <w:bidi w:val="0"/>
              <w:rPr>
                <w:rFonts w:hint="eastAsia"/>
                <w:color w:val="auto"/>
                <w:lang w:eastAsia="zh-CN"/>
              </w:rPr>
            </w:pPr>
            <w:r>
              <w:rPr>
                <w:rFonts w:hint="eastAsia"/>
                <w:color w:val="auto"/>
                <w:lang w:eastAsia="zh-CN"/>
              </w:rPr>
              <w:t>④协调配合生态环境保护部门组织的监督检查，并组织整改发现的问题。</w:t>
            </w:r>
          </w:p>
          <w:p>
            <w:pPr>
              <w:pStyle w:val="49"/>
              <w:bidi w:val="0"/>
              <w:rPr>
                <w:rFonts w:hint="eastAsia"/>
                <w:b/>
                <w:bCs/>
                <w:color w:val="auto"/>
                <w:lang w:eastAsia="zh-CN"/>
              </w:rPr>
            </w:pPr>
            <w:r>
              <w:rPr>
                <w:rFonts w:hint="eastAsia"/>
                <w:b/>
                <w:bCs/>
                <w:color w:val="auto"/>
                <w:lang w:eastAsia="zh-CN"/>
              </w:rPr>
              <w:t>⑵运行期环境监测计划</w:t>
            </w:r>
          </w:p>
          <w:p>
            <w:pPr>
              <w:pStyle w:val="49"/>
              <w:bidi w:val="0"/>
              <w:rPr>
                <w:rFonts w:hint="eastAsia"/>
                <w:color w:val="auto"/>
                <w:lang w:val="en-US" w:eastAsia="zh-CN"/>
              </w:rPr>
            </w:pPr>
            <w:r>
              <w:rPr>
                <w:rFonts w:hint="eastAsia"/>
                <w:color w:val="auto"/>
                <w:lang w:eastAsia="zh-CN"/>
              </w:rPr>
              <w:t>本项目运行期环境监测计划见表</w:t>
            </w:r>
            <w:r>
              <w:rPr>
                <w:rFonts w:hint="eastAsia"/>
                <w:color w:val="auto"/>
                <w:lang w:val="en-US" w:eastAsia="zh-CN"/>
              </w:rPr>
              <w:t>23。</w:t>
            </w:r>
          </w:p>
          <w:p>
            <w:pPr>
              <w:keepNext w:val="0"/>
              <w:keepLines w:val="0"/>
              <w:pageBreakBefore w:val="0"/>
              <w:widowControl w:val="0"/>
              <w:kinsoku/>
              <w:wordWrap/>
              <w:overflowPunct/>
              <w:topLinePunct w:val="0"/>
              <w:autoSpaceDE/>
              <w:autoSpaceDN/>
              <w:bidi w:val="0"/>
              <w:adjustRightInd/>
              <w:snapToGrid w:val="0"/>
              <w:ind w:firstLine="482" w:firstLineChars="200"/>
              <w:jc w:val="left"/>
              <w:textAlignment w:val="auto"/>
              <w:rPr>
                <w:rFonts w:hint="eastAsia" w:ascii="Times New Roman" w:hAnsi="Times New Roman" w:eastAsia="宋体" w:cs="Times New Roman"/>
                <w:b/>
                <w:bCs w:val="0"/>
                <w:color w:val="auto"/>
                <w:kern w:val="24"/>
                <w:sz w:val="24"/>
                <w:szCs w:val="24"/>
                <w:lang w:val="zh-CN" w:eastAsia="zh-CN"/>
              </w:rPr>
            </w:pPr>
            <w:r>
              <w:rPr>
                <w:rFonts w:hint="eastAsia" w:ascii="Times New Roman" w:hAnsi="Times New Roman" w:eastAsia="宋体" w:cs="Times New Roman"/>
                <w:b/>
                <w:bCs w:val="0"/>
                <w:color w:val="auto"/>
                <w:kern w:val="24"/>
                <w:sz w:val="24"/>
                <w:szCs w:val="24"/>
                <w:lang w:val="zh-CN" w:eastAsia="zh-CN"/>
              </w:rPr>
              <w:t>表</w:t>
            </w:r>
            <w:r>
              <w:rPr>
                <w:rFonts w:hint="eastAsia" w:ascii="Times New Roman" w:hAnsi="Times New Roman" w:eastAsia="宋体" w:cs="Times New Roman"/>
                <w:b/>
                <w:bCs w:val="0"/>
                <w:color w:val="auto"/>
                <w:kern w:val="24"/>
                <w:sz w:val="24"/>
                <w:szCs w:val="24"/>
                <w:lang w:val="en-US" w:eastAsia="zh-CN"/>
              </w:rPr>
              <w:t>23</w:t>
            </w:r>
            <w:r>
              <w:rPr>
                <w:rFonts w:hint="eastAsia" w:ascii="Times New Roman" w:hAnsi="Times New Roman" w:eastAsia="宋体" w:cs="Times New Roman"/>
                <w:b/>
                <w:bCs w:val="0"/>
                <w:color w:val="auto"/>
                <w:kern w:val="24"/>
                <w:sz w:val="24"/>
                <w:szCs w:val="24"/>
                <w:lang w:val="zh-CN" w:eastAsia="zh-CN"/>
              </w:rPr>
              <w:t xml:space="preserve">  </w:t>
            </w:r>
            <w:r>
              <w:rPr>
                <w:rFonts w:hint="eastAsia" w:ascii="Times New Roman" w:hAnsi="Times New Roman" w:eastAsia="宋体" w:cs="Times New Roman"/>
                <w:b/>
                <w:bCs w:val="0"/>
                <w:color w:val="auto"/>
                <w:kern w:val="24"/>
                <w:sz w:val="24"/>
                <w:szCs w:val="24"/>
                <w:lang w:val="en-US" w:eastAsia="zh-CN"/>
              </w:rPr>
              <w:t xml:space="preserve">           运营期</w:t>
            </w:r>
            <w:r>
              <w:rPr>
                <w:rFonts w:hint="eastAsia" w:ascii="Times New Roman" w:hAnsi="Times New Roman" w:eastAsia="宋体" w:cs="Times New Roman"/>
                <w:b/>
                <w:bCs w:val="0"/>
                <w:color w:val="auto"/>
                <w:kern w:val="24"/>
                <w:sz w:val="24"/>
                <w:szCs w:val="24"/>
                <w:lang w:val="zh-CN" w:eastAsia="zh-CN"/>
              </w:rPr>
              <w:t>项目监测计划表</w:t>
            </w:r>
          </w:p>
          <w:tbl>
            <w:tblPr>
              <w:tblStyle w:val="28"/>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29"/>
              <w:gridCol w:w="1455"/>
              <w:gridCol w:w="675"/>
              <w:gridCol w:w="1170"/>
              <w:gridCol w:w="2715"/>
              <w:gridCol w:w="16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监测要素</w:t>
                  </w:r>
                </w:p>
              </w:tc>
              <w:tc>
                <w:tcPr>
                  <w:tcW w:w="145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监测因子</w:t>
                  </w:r>
                </w:p>
              </w:tc>
              <w:tc>
                <w:tcPr>
                  <w:tcW w:w="6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监测点位</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 w:val="21"/>
                      <w:szCs w:val="21"/>
                      <w:lang w:val="en-GB" w:eastAsia="zh-CN"/>
                    </w:rPr>
                  </w:pPr>
                  <w:r>
                    <w:rPr>
                      <w:rFonts w:hint="eastAsia" w:ascii="Times New Roman" w:hAnsi="Times New Roman" w:cs="Times New Roman"/>
                      <w:b/>
                      <w:bCs/>
                      <w:color w:val="auto"/>
                      <w:sz w:val="21"/>
                      <w:szCs w:val="21"/>
                      <w:lang w:val="en-GB" w:eastAsia="zh-CN"/>
                    </w:rPr>
                    <w:t>负责部门</w:t>
                  </w: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 w:val="21"/>
                      <w:szCs w:val="21"/>
                      <w:lang w:val="en-GB" w:eastAsia="zh-CN"/>
                    </w:rPr>
                  </w:pPr>
                  <w:r>
                    <w:rPr>
                      <w:rFonts w:hint="eastAsia" w:ascii="Times New Roman" w:hAnsi="Times New Roman" w:cs="Times New Roman"/>
                      <w:b/>
                      <w:bCs/>
                      <w:color w:val="auto"/>
                      <w:sz w:val="21"/>
                      <w:szCs w:val="21"/>
                      <w:lang w:val="en-GB" w:eastAsia="zh-CN"/>
                    </w:rPr>
                    <w:t>监测频率</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bCs/>
                      <w:color w:val="auto"/>
                      <w:sz w:val="21"/>
                      <w:szCs w:val="21"/>
                      <w:lang w:val="en-GB" w:eastAsia="zh-CN"/>
                    </w:rPr>
                  </w:pPr>
                  <w:r>
                    <w:rPr>
                      <w:rFonts w:hint="eastAsia" w:ascii="Times New Roman" w:hAnsi="Times New Roman" w:cs="Times New Roman"/>
                      <w:b/>
                      <w:bCs/>
                      <w:color w:val="auto"/>
                      <w:sz w:val="21"/>
                      <w:szCs w:val="21"/>
                      <w:lang w:val="en-GB" w:eastAsia="zh-CN"/>
                    </w:rP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噪声</w:t>
                  </w:r>
                </w:p>
              </w:tc>
              <w:tc>
                <w:tcPr>
                  <w:tcW w:w="145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昼间、夜间等效声级，Leq</w:t>
                  </w:r>
                </w:p>
              </w:tc>
              <w:tc>
                <w:tcPr>
                  <w:tcW w:w="6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eastAsia="zh-CN"/>
                    </w:rPr>
                  </w:pPr>
                  <w:r>
                    <w:rPr>
                      <w:rFonts w:hint="eastAsia" w:cs="Times New Roman"/>
                      <w:b w:val="0"/>
                      <w:bCs w:val="0"/>
                      <w:color w:val="auto"/>
                      <w:sz w:val="21"/>
                      <w:szCs w:val="21"/>
                      <w:lang w:eastAsia="zh-CN"/>
                    </w:rPr>
                    <w:t>风机组</w:t>
                  </w:r>
                  <w:r>
                    <w:rPr>
                      <w:rFonts w:hint="eastAsia" w:ascii="Times New Roman" w:hAnsi="Times New Roman" w:cs="Times New Roman"/>
                      <w:b w:val="0"/>
                      <w:bCs w:val="0"/>
                      <w:color w:val="auto"/>
                      <w:sz w:val="21"/>
                      <w:szCs w:val="21"/>
                      <w:lang w:eastAsia="zh-CN"/>
                    </w:rPr>
                    <w:t>边界</w:t>
                  </w:r>
                </w:p>
              </w:tc>
              <w:tc>
                <w:tcPr>
                  <w:tcW w:w="11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运维单位委托有资质监测单位</w:t>
                  </w: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进行竣工环境保护验收时；正常运行期，项目环境及生产设备发生重大变化时进行监测，即突发性环境事件进行跟踪监测；项目引发纠纷、投诉时进行监测。</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《工业企业厂界环境噪声排放标准》（GB12348-2008）</w:t>
                  </w:r>
                  <w:r>
                    <w:rPr>
                      <w:rFonts w:hint="eastAsia" w:cs="Times New Roman"/>
                      <w:b w:val="0"/>
                      <w:bCs w:val="0"/>
                      <w:color w:val="auto"/>
                      <w:sz w:val="21"/>
                      <w:szCs w:val="21"/>
                      <w:lang w:val="en-US" w:eastAsia="zh-CN"/>
                    </w:rPr>
                    <w:t>1</w:t>
                  </w:r>
                  <w:r>
                    <w:rPr>
                      <w:rFonts w:hint="eastAsia" w:ascii="Times New Roman" w:hAnsi="Times New Roman" w:cs="Times New Roman"/>
                      <w:b w:val="0"/>
                      <w:bCs w:val="0"/>
                      <w:color w:val="auto"/>
                      <w:sz w:val="21"/>
                      <w:szCs w:val="21"/>
                      <w:lang w:val="en-US" w:eastAsia="zh-CN"/>
                    </w:rPr>
                    <w:t>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生态</w:t>
                  </w:r>
                </w:p>
              </w:tc>
              <w:tc>
                <w:tcPr>
                  <w:tcW w:w="21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val="en-US" w:eastAsia="zh-CN"/>
                    </w:rPr>
                    <w:t>临时用地及施工扰动区域</w:t>
                  </w:r>
                </w:p>
              </w:tc>
              <w:tc>
                <w:tcPr>
                  <w:tcW w:w="11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eastAsia="zh-CN"/>
                    </w:rPr>
                  </w:pPr>
                </w:p>
              </w:tc>
              <w:tc>
                <w:tcPr>
                  <w:tcW w:w="2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进行竣工环境保护验收时</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w:t>
                  </w:r>
                </w:p>
              </w:tc>
            </w:tr>
          </w:tbl>
          <w:p>
            <w:pPr>
              <w:pStyle w:val="49"/>
              <w:bidi w:val="0"/>
              <w:ind w:left="0" w:leftChars="0" w:firstLine="0" w:firstLineChars="0"/>
              <w:rPr>
                <w:rFonts w:hint="default" w:ascii="Times New Roman" w:hAnsi="Times New Roman" w:cs="Times New Roman"/>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3"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其他</w:t>
            </w:r>
          </w:p>
        </w:tc>
        <w:tc>
          <w:tcPr>
            <w:tcW w:w="8616" w:type="dxa"/>
            <w:vAlign w:val="center"/>
          </w:tcPr>
          <w:p>
            <w:pPr>
              <w:pStyle w:val="48"/>
              <w:bidi w:val="0"/>
              <w:rPr>
                <w:rFonts w:hint="eastAsia" w:ascii="仿宋" w:hAnsi="仿宋" w:eastAsia="仿宋" w:cs="仿宋"/>
                <w:color w:val="auto"/>
                <w:lang w:eastAsia="zh-CN"/>
              </w:rPr>
            </w:pPr>
            <w:r>
              <w:rPr>
                <w:rFonts w:hint="eastAsia" w:ascii="仿宋" w:hAnsi="仿宋" w:eastAsia="仿宋" w:cs="仿宋"/>
                <w:color w:val="auto"/>
                <w:lang w:val="en-US" w:eastAsia="zh-CN"/>
              </w:rPr>
              <w:t>1.环境管理</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（1）环境管理目标</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①确保本工程符合环境保护法规要求；</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②以适当的环境保护投资充分发挥本工程潜在的效益；</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③实现工程建设的环境、社会与经济效益的统一。</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（2）环境管理机构及其职责</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在工程建设管理单位设置专职的环境管理员，安排专业环保人员负责施工中的环境管理工作。为保证各项措施有效实施，环境管理员应在工程筹建期设置。环境管理员具有以下职责：</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①贯彻国家及有关部门的环保方针、政策、法规、条例，对工程施工过程中各项环保措施执行情况进行监督检查。结合本工程特点，制定施工区环境管理办法，并指导、监督实施。</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②代表业主选择有资质的单位签订合同，进行环境监测、卫生防疫工作。</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③做好施工期各种突发环境事件的预防工作，准备好应急处理措施。</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④协调处理工程建设与当地群众的环境纠纷。</w:t>
            </w:r>
          </w:p>
          <w:p>
            <w:pPr>
              <w:pStyle w:val="49"/>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⑤加强对施工人员的环保宣传教育，增强其环保意识。</w:t>
            </w:r>
          </w:p>
          <w:p>
            <w:pPr>
              <w:pStyle w:val="49"/>
              <w:bidi w:val="0"/>
              <w:rPr>
                <w:rFonts w:hint="default" w:ascii="Times New Roman" w:hAnsi="Times New Roman" w:eastAsia="黑体" w:cs="Times New Roman"/>
                <w:b w:val="0"/>
                <w:bCs/>
                <w:color w:val="auto"/>
                <w:kern w:val="2"/>
                <w:sz w:val="24"/>
                <w:szCs w:val="24"/>
                <w:lang w:val="en-US" w:eastAsia="zh-CN" w:bidi="ar-SA"/>
              </w:rPr>
            </w:pPr>
            <w:r>
              <w:rPr>
                <w:rFonts w:hint="default" w:ascii="Times New Roman" w:hAnsi="Times New Roman" w:cs="Times New Roman"/>
                <w:color w:val="auto"/>
                <w:lang w:val="en-US" w:eastAsia="zh-CN"/>
              </w:rPr>
              <w:t>本项目</w:t>
            </w:r>
            <w:r>
              <w:rPr>
                <w:rFonts w:hint="default" w:ascii="Times New Roman" w:hAnsi="Times New Roman" w:cs="Times New Roman"/>
                <w:color w:val="auto"/>
                <w:lang w:eastAsia="zh-CN"/>
              </w:rPr>
              <w:t>施工期环境管理见表</w:t>
            </w:r>
            <w:r>
              <w:rPr>
                <w:rFonts w:hint="eastAsia" w:cs="Times New Roman"/>
                <w:color w:val="auto"/>
                <w:lang w:val="en-US" w:eastAsia="zh-CN"/>
              </w:rPr>
              <w:t>25</w:t>
            </w:r>
            <w:r>
              <w:rPr>
                <w:rFonts w:hint="default" w:ascii="Times New Roman" w:hAnsi="Times New Roman" w:cs="Times New Roman"/>
                <w:color w:val="auto"/>
                <w:lang w:eastAsia="zh-CN"/>
              </w:rPr>
              <w:t>。</w:t>
            </w:r>
          </w:p>
          <w:p>
            <w:pPr>
              <w:pStyle w:val="101"/>
              <w:bidi w:val="0"/>
              <w:ind w:firstLine="480" w:firstLineChars="200"/>
              <w:jc w:val="both"/>
              <w:rPr>
                <w:rFonts w:hint="default" w:ascii="Times New Roman" w:hAnsi="Times New Roman" w:cs="Times New Roman"/>
                <w:color w:val="auto"/>
                <w:highlight w:val="none"/>
                <w:lang w:eastAsia="zh-CN"/>
              </w:rPr>
            </w:pPr>
            <w:r>
              <w:rPr>
                <w:rFonts w:hint="default" w:ascii="Times New Roman" w:hAnsi="Times New Roman" w:eastAsia="黑体" w:cs="Times New Roman"/>
                <w:b w:val="0"/>
                <w:bCs/>
                <w:color w:val="auto"/>
                <w:kern w:val="2"/>
                <w:sz w:val="24"/>
                <w:szCs w:val="24"/>
                <w:lang w:val="en-US" w:eastAsia="zh-CN" w:bidi="ar-SA"/>
              </w:rPr>
              <w:t>表</w:t>
            </w:r>
            <w:r>
              <w:rPr>
                <w:rFonts w:hint="eastAsia" w:eastAsia="黑体" w:cs="Times New Roman"/>
                <w:b w:val="0"/>
                <w:bCs/>
                <w:color w:val="auto"/>
                <w:kern w:val="2"/>
                <w:sz w:val="24"/>
                <w:szCs w:val="24"/>
                <w:lang w:val="en-US" w:eastAsia="zh-CN" w:bidi="ar-SA"/>
              </w:rPr>
              <w:t>25</w:t>
            </w:r>
            <w:r>
              <w:rPr>
                <w:rFonts w:hint="default" w:ascii="Times New Roman" w:hAnsi="Times New Roman" w:eastAsia="黑体" w:cs="Times New Roman"/>
                <w:b w:val="0"/>
                <w:bCs/>
                <w:color w:val="auto"/>
                <w:kern w:val="2"/>
                <w:sz w:val="24"/>
                <w:szCs w:val="24"/>
                <w:lang w:val="en-US" w:eastAsia="zh-CN" w:bidi="ar-SA"/>
              </w:rPr>
              <w:t xml:space="preserve">        </w:t>
            </w:r>
            <w:r>
              <w:rPr>
                <w:rFonts w:hint="eastAsia" w:eastAsia="黑体" w:cs="Times New Roman"/>
                <w:b w:val="0"/>
                <w:bCs/>
                <w:color w:val="auto"/>
                <w:kern w:val="2"/>
                <w:sz w:val="24"/>
                <w:szCs w:val="24"/>
                <w:lang w:val="en-US" w:eastAsia="zh-CN" w:bidi="ar-SA"/>
              </w:rPr>
              <w:t xml:space="preserve">   </w:t>
            </w:r>
            <w:r>
              <w:rPr>
                <w:rFonts w:hint="default" w:ascii="Times New Roman" w:hAnsi="Times New Roman" w:eastAsia="黑体" w:cs="Times New Roman"/>
                <w:b w:val="0"/>
                <w:bCs/>
                <w:color w:val="auto"/>
                <w:kern w:val="2"/>
                <w:sz w:val="24"/>
                <w:szCs w:val="24"/>
                <w:lang w:val="en-US" w:eastAsia="zh-CN" w:bidi="ar-SA"/>
              </w:rPr>
              <w:t xml:space="preserve">      </w:t>
            </w:r>
            <w:r>
              <w:rPr>
                <w:rFonts w:hint="eastAsia" w:eastAsia="黑体" w:cs="Times New Roman"/>
                <w:b w:val="0"/>
                <w:bCs/>
                <w:color w:val="auto"/>
                <w:kern w:val="2"/>
                <w:sz w:val="24"/>
                <w:szCs w:val="24"/>
                <w:lang w:val="en-US" w:eastAsia="zh-CN" w:bidi="ar-SA"/>
              </w:rPr>
              <w:t xml:space="preserve">  </w:t>
            </w:r>
            <w:r>
              <w:rPr>
                <w:rFonts w:hint="default" w:ascii="Times New Roman" w:hAnsi="Times New Roman" w:eastAsia="黑体" w:cs="Times New Roman"/>
                <w:b w:val="0"/>
                <w:bCs/>
                <w:color w:val="auto"/>
                <w:kern w:val="2"/>
                <w:sz w:val="24"/>
                <w:szCs w:val="24"/>
                <w:lang w:val="en-US" w:eastAsia="zh-CN" w:bidi="ar-SA"/>
              </w:rPr>
              <w:t>施工期环境管理</w:t>
            </w:r>
          </w:p>
          <w:tbl>
            <w:tblPr>
              <w:tblStyle w:val="28"/>
              <w:tblW w:w="81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7" w:type="dxa"/>
                <w:bottom w:w="0" w:type="dxa"/>
                <w:right w:w="17" w:type="dxa"/>
              </w:tblCellMar>
            </w:tblPr>
            <w:tblGrid>
              <w:gridCol w:w="749"/>
              <w:gridCol w:w="1184"/>
              <w:gridCol w:w="4202"/>
              <w:gridCol w:w="1104"/>
              <w:gridCol w:w="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749" w:type="dxa"/>
                  <w:noWrap w:val="0"/>
                  <w:vAlign w:val="center"/>
                </w:tcPr>
                <w:p>
                  <w:pPr>
                    <w:widowControl/>
                    <w:adjustRightInd w:val="0"/>
                    <w:snapToGrid w:val="0"/>
                    <w:jc w:val="center"/>
                    <w:rPr>
                      <w:rFonts w:hAnsi="宋体"/>
                      <w:b/>
                      <w:bCs/>
                      <w:color w:val="auto"/>
                      <w:szCs w:val="21"/>
                    </w:rPr>
                  </w:pPr>
                  <w:r>
                    <w:rPr>
                      <w:rFonts w:hAnsi="宋体"/>
                      <w:b/>
                      <w:bCs/>
                      <w:color w:val="auto"/>
                      <w:szCs w:val="21"/>
                    </w:rPr>
                    <w:t>类别</w:t>
                  </w:r>
                </w:p>
              </w:tc>
              <w:tc>
                <w:tcPr>
                  <w:tcW w:w="1184" w:type="dxa"/>
                  <w:noWrap w:val="0"/>
                  <w:vAlign w:val="center"/>
                </w:tcPr>
                <w:p>
                  <w:pPr>
                    <w:widowControl/>
                    <w:adjustRightInd w:val="0"/>
                    <w:snapToGrid w:val="0"/>
                    <w:jc w:val="center"/>
                    <w:rPr>
                      <w:rFonts w:hint="eastAsia" w:hAnsi="宋体" w:eastAsia="宋体"/>
                      <w:b/>
                      <w:bCs/>
                      <w:color w:val="auto"/>
                      <w:szCs w:val="21"/>
                      <w:lang w:eastAsia="zh-CN"/>
                    </w:rPr>
                  </w:pPr>
                  <w:r>
                    <w:rPr>
                      <w:rFonts w:hint="eastAsia" w:hAnsi="宋体"/>
                      <w:b/>
                      <w:bCs/>
                      <w:color w:val="auto"/>
                      <w:szCs w:val="21"/>
                      <w:lang w:val="en-US" w:eastAsia="zh-CN"/>
                    </w:rPr>
                    <w:t>污染源</w:t>
                  </w:r>
                </w:p>
              </w:tc>
              <w:tc>
                <w:tcPr>
                  <w:tcW w:w="4202" w:type="dxa"/>
                  <w:noWrap w:val="0"/>
                  <w:vAlign w:val="center"/>
                </w:tcPr>
                <w:p>
                  <w:pPr>
                    <w:widowControl/>
                    <w:adjustRightInd w:val="0"/>
                    <w:snapToGrid w:val="0"/>
                    <w:jc w:val="center"/>
                    <w:rPr>
                      <w:rFonts w:hint="default" w:hAnsi="宋体" w:eastAsia="宋体"/>
                      <w:b/>
                      <w:bCs/>
                      <w:color w:val="auto"/>
                      <w:szCs w:val="21"/>
                      <w:lang w:val="en-US" w:eastAsia="zh-CN"/>
                    </w:rPr>
                  </w:pPr>
                  <w:r>
                    <w:rPr>
                      <w:rFonts w:hint="eastAsia" w:hAnsi="宋体"/>
                      <w:b/>
                      <w:bCs/>
                      <w:color w:val="auto"/>
                      <w:szCs w:val="21"/>
                      <w:lang w:val="en-US" w:eastAsia="zh-CN"/>
                    </w:rPr>
                    <w:t>治理措施及设施</w:t>
                  </w:r>
                </w:p>
              </w:tc>
              <w:tc>
                <w:tcPr>
                  <w:tcW w:w="1104" w:type="dxa"/>
                  <w:noWrap w:val="0"/>
                  <w:vAlign w:val="center"/>
                </w:tcPr>
                <w:p>
                  <w:pPr>
                    <w:widowControl/>
                    <w:adjustRightInd w:val="0"/>
                    <w:snapToGrid w:val="0"/>
                    <w:jc w:val="center"/>
                    <w:rPr>
                      <w:rFonts w:hint="eastAsia" w:hAnsi="宋体" w:eastAsia="宋体"/>
                      <w:b/>
                      <w:bCs/>
                      <w:color w:val="auto"/>
                      <w:szCs w:val="21"/>
                      <w:lang w:eastAsia="zh-CN"/>
                    </w:rPr>
                  </w:pPr>
                  <w:r>
                    <w:rPr>
                      <w:rFonts w:hint="eastAsia" w:hAnsi="宋体"/>
                      <w:b/>
                      <w:bCs/>
                      <w:color w:val="auto"/>
                      <w:szCs w:val="21"/>
                      <w:lang w:val="en-US" w:eastAsia="zh-CN"/>
                    </w:rPr>
                    <w:t>预期效果</w:t>
                  </w:r>
                </w:p>
              </w:tc>
              <w:tc>
                <w:tcPr>
                  <w:tcW w:w="899" w:type="dxa"/>
                  <w:noWrap w:val="0"/>
                  <w:vAlign w:val="center"/>
                </w:tcPr>
                <w:p>
                  <w:pPr>
                    <w:widowControl/>
                    <w:adjustRightInd w:val="0"/>
                    <w:snapToGrid w:val="0"/>
                    <w:jc w:val="center"/>
                    <w:rPr>
                      <w:rFonts w:hint="eastAsia" w:hAnsi="宋体" w:eastAsia="宋体"/>
                      <w:b/>
                      <w:bCs/>
                      <w:color w:val="auto"/>
                      <w:szCs w:val="21"/>
                      <w:lang w:val="en-US" w:eastAsia="zh-CN"/>
                    </w:rPr>
                  </w:pPr>
                  <w:r>
                    <w:rPr>
                      <w:rFonts w:hint="eastAsia" w:hAnsi="宋体"/>
                      <w:b/>
                      <w:bCs/>
                      <w:color w:val="auto"/>
                      <w:szCs w:val="21"/>
                      <w:lang w:val="en-US" w:eastAsia="zh-CN"/>
                    </w:rPr>
                    <w:t>责任主体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749" w:type="dxa"/>
                  <w:noWrap w:val="0"/>
                  <w:vAlign w:val="center"/>
                </w:tcPr>
                <w:p>
                  <w:pPr>
                    <w:widowControl/>
                    <w:adjustRightInd w:val="0"/>
                    <w:snapToGrid w:val="0"/>
                    <w:jc w:val="center"/>
                    <w:rPr>
                      <w:rFonts w:hAnsi="宋体"/>
                      <w:color w:val="auto"/>
                      <w:szCs w:val="21"/>
                    </w:rPr>
                  </w:pPr>
                  <w:r>
                    <w:rPr>
                      <w:rFonts w:hAnsi="宋体"/>
                      <w:color w:val="auto"/>
                      <w:szCs w:val="21"/>
                    </w:rPr>
                    <w:t>废气</w:t>
                  </w:r>
                </w:p>
                <w:p>
                  <w:pPr>
                    <w:widowControl/>
                    <w:adjustRightInd w:val="0"/>
                    <w:snapToGrid w:val="0"/>
                    <w:jc w:val="center"/>
                    <w:rPr>
                      <w:rFonts w:hAnsi="宋体"/>
                      <w:color w:val="auto"/>
                      <w:szCs w:val="21"/>
                    </w:rPr>
                  </w:pPr>
                  <w:r>
                    <w:rPr>
                      <w:rFonts w:hAnsi="宋体"/>
                      <w:color w:val="auto"/>
                      <w:szCs w:val="21"/>
                    </w:rPr>
                    <w:t>治理</w:t>
                  </w:r>
                </w:p>
              </w:tc>
              <w:tc>
                <w:tcPr>
                  <w:tcW w:w="1184" w:type="dxa"/>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hAnsi="宋体"/>
                      <w:color w:val="auto"/>
                      <w:sz w:val="21"/>
                      <w:szCs w:val="21"/>
                    </w:rPr>
                  </w:pPr>
                  <w:r>
                    <w:rPr>
                      <w:rFonts w:hint="default" w:ascii="Times New Roman" w:hAnsi="Times New Roman" w:eastAsia="宋体" w:cs="Times New Roman"/>
                      <w:color w:val="auto"/>
                      <w:sz w:val="21"/>
                      <w:szCs w:val="21"/>
                      <w:highlight w:val="none"/>
                    </w:rPr>
                    <w:t>施工扬尘</w:t>
                  </w:r>
                </w:p>
              </w:tc>
              <w:tc>
                <w:tcPr>
                  <w:tcW w:w="4202" w:type="dxa"/>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①路基施工避开大风天气、定时洒水。</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②及时清运</w:t>
                  </w:r>
                  <w:r>
                    <w:rPr>
                      <w:rFonts w:hint="default" w:ascii="Times New Roman" w:hAnsi="Times New Roman" w:eastAsia="宋体" w:cs="Times New Roman"/>
                      <w:color w:val="auto"/>
                      <w:sz w:val="21"/>
                      <w:szCs w:val="21"/>
                      <w:highlight w:val="none"/>
                      <w:lang w:eastAsia="zh-CN"/>
                    </w:rPr>
                    <w:t>建筑垃圾</w:t>
                  </w:r>
                  <w:r>
                    <w:rPr>
                      <w:rFonts w:hint="default" w:ascii="Times New Roman" w:hAnsi="Times New Roman" w:eastAsia="宋体" w:cs="Times New Roman"/>
                      <w:color w:val="auto"/>
                      <w:sz w:val="21"/>
                      <w:szCs w:val="21"/>
                      <w:highlight w:val="none"/>
                    </w:rPr>
                    <w:t>，施工结束后</w:t>
                  </w:r>
                  <w:r>
                    <w:rPr>
                      <w:rFonts w:hint="default" w:ascii="Times New Roman" w:hAnsi="Times New Roman" w:eastAsia="宋体" w:cs="Times New Roman"/>
                      <w:color w:val="auto"/>
                      <w:sz w:val="21"/>
                      <w:szCs w:val="21"/>
                      <w:highlight w:val="none"/>
                      <w:lang w:eastAsia="zh-CN"/>
                    </w:rPr>
                    <w:t>对临时占地</w:t>
                  </w:r>
                  <w:r>
                    <w:rPr>
                      <w:rFonts w:hint="default" w:ascii="Times New Roman" w:hAnsi="Times New Roman" w:eastAsia="宋体" w:cs="Times New Roman"/>
                      <w:color w:val="auto"/>
                      <w:sz w:val="21"/>
                      <w:szCs w:val="21"/>
                      <w:highlight w:val="none"/>
                    </w:rPr>
                    <w:t>进行必要的地表整平、绿化、美化，与原地貌保持一致。</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④粉料运输车辆控制车速，并采取少量洒水与遮蔽抑尘措施。</w:t>
                  </w:r>
                </w:p>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hAnsi="宋体"/>
                      <w:color w:val="auto"/>
                      <w:szCs w:val="21"/>
                    </w:rPr>
                  </w:pPr>
                  <w:r>
                    <w:rPr>
                      <w:rFonts w:hint="default" w:ascii="Times New Roman" w:hAnsi="Times New Roman" w:eastAsia="宋体" w:cs="Times New Roman"/>
                      <w:color w:val="auto"/>
                      <w:sz w:val="21"/>
                      <w:szCs w:val="21"/>
                      <w:highlight w:val="none"/>
                    </w:rPr>
                    <w:t>⑤施工生活生产区料场远离敏感点、设置挡风围墙、洒水保湿等。</w:t>
                  </w:r>
                </w:p>
              </w:tc>
              <w:tc>
                <w:tcPr>
                  <w:tcW w:w="1104" w:type="dxa"/>
                  <w:noWrap w:val="0"/>
                  <w:vAlign w:val="center"/>
                </w:tcPr>
                <w:p>
                  <w:pPr>
                    <w:widowControl/>
                    <w:adjustRightInd w:val="0"/>
                    <w:snapToGrid w:val="0"/>
                    <w:jc w:val="center"/>
                    <w:rPr>
                      <w:rFonts w:hAnsi="宋体"/>
                      <w:color w:val="auto"/>
                      <w:szCs w:val="21"/>
                    </w:rPr>
                  </w:pPr>
                  <w:r>
                    <w:rPr>
                      <w:rFonts w:hAnsi="宋体"/>
                      <w:color w:val="auto"/>
                      <w:szCs w:val="21"/>
                    </w:rPr>
                    <w:t>达标排放</w:t>
                  </w:r>
                </w:p>
              </w:tc>
              <w:tc>
                <w:tcPr>
                  <w:tcW w:w="899" w:type="dxa"/>
                  <w:noWrap w:val="0"/>
                  <w:vAlign w:val="center"/>
                </w:tcPr>
                <w:p>
                  <w:pPr>
                    <w:widowControl/>
                    <w:adjustRightInd w:val="0"/>
                    <w:snapToGrid w:val="0"/>
                    <w:jc w:val="center"/>
                    <w:rPr>
                      <w:rFonts w:hint="default" w:hAnsi="宋体" w:eastAsia="宋体"/>
                      <w:color w:val="auto"/>
                      <w:szCs w:val="21"/>
                      <w:lang w:val="en-US" w:eastAsia="zh-CN"/>
                    </w:rPr>
                  </w:pPr>
                  <w:r>
                    <w:rPr>
                      <w:rFonts w:hint="eastAsia" w:hAnsi="宋体"/>
                      <w:color w:val="auto"/>
                      <w:szCs w:val="21"/>
                      <w:lang w:val="en-US" w:eastAsia="zh-CN"/>
                    </w:rPr>
                    <w:t>建设单位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749" w:type="dxa"/>
                  <w:noWrap w:val="0"/>
                  <w:vAlign w:val="center"/>
                </w:tcPr>
                <w:p>
                  <w:pPr>
                    <w:widowControl/>
                    <w:adjustRightInd w:val="0"/>
                    <w:snapToGrid w:val="0"/>
                    <w:jc w:val="center"/>
                    <w:rPr>
                      <w:rFonts w:hAnsi="宋体"/>
                      <w:color w:val="auto"/>
                      <w:szCs w:val="21"/>
                    </w:rPr>
                  </w:pPr>
                  <w:r>
                    <w:rPr>
                      <w:rFonts w:hAnsi="宋体"/>
                      <w:color w:val="auto"/>
                      <w:szCs w:val="21"/>
                    </w:rPr>
                    <w:t>废气</w:t>
                  </w:r>
                </w:p>
                <w:p>
                  <w:pPr>
                    <w:widowControl/>
                    <w:adjustRightInd w:val="0"/>
                    <w:snapToGrid w:val="0"/>
                    <w:jc w:val="center"/>
                    <w:rPr>
                      <w:rFonts w:hAnsi="宋体"/>
                      <w:color w:val="auto"/>
                      <w:szCs w:val="21"/>
                    </w:rPr>
                  </w:pPr>
                  <w:r>
                    <w:rPr>
                      <w:rFonts w:hAnsi="宋体"/>
                      <w:color w:val="auto"/>
                      <w:szCs w:val="21"/>
                    </w:rPr>
                    <w:t>治理</w:t>
                  </w:r>
                </w:p>
              </w:tc>
              <w:tc>
                <w:tcPr>
                  <w:tcW w:w="1184" w:type="dxa"/>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hAnsi="宋体"/>
                      <w:color w:val="auto"/>
                      <w:szCs w:val="21"/>
                      <w:highlight w:val="red"/>
                    </w:rPr>
                  </w:pPr>
                  <w:r>
                    <w:rPr>
                      <w:rFonts w:hint="default" w:ascii="Times New Roman" w:hAnsi="Times New Roman" w:eastAsia="宋体" w:cs="Times New Roman"/>
                      <w:color w:val="auto"/>
                      <w:sz w:val="21"/>
                      <w:szCs w:val="21"/>
                      <w:highlight w:val="none"/>
                    </w:rPr>
                    <w:t>施工机械尾气</w:t>
                  </w:r>
                </w:p>
              </w:tc>
              <w:tc>
                <w:tcPr>
                  <w:tcW w:w="4202" w:type="dxa"/>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hAnsi="宋体"/>
                      <w:color w:val="auto"/>
                      <w:szCs w:val="21"/>
                      <w:highlight w:val="red"/>
                    </w:rPr>
                  </w:pPr>
                  <w:r>
                    <w:rPr>
                      <w:rFonts w:hint="default" w:ascii="Times New Roman" w:hAnsi="Times New Roman" w:eastAsia="宋体" w:cs="Times New Roman"/>
                      <w:color w:val="auto"/>
                      <w:sz w:val="21"/>
                      <w:szCs w:val="21"/>
                      <w:highlight w:val="none"/>
                    </w:rPr>
                    <w:t>①项目所在地较为开阔，空气流通较好，汽车排放的废气能够较快地扩散，不会对当地的环境空气产生较大影响，但项目建设过程中仍应采取控制措施，加强施工机械的维护，使环境空气质量受到的影响降至最低。</w:t>
                  </w:r>
                </w:p>
              </w:tc>
              <w:tc>
                <w:tcPr>
                  <w:tcW w:w="1104" w:type="dxa"/>
                  <w:noWrap w:val="0"/>
                  <w:vAlign w:val="center"/>
                </w:tcPr>
                <w:p>
                  <w:pPr>
                    <w:widowControl/>
                    <w:adjustRightInd w:val="0"/>
                    <w:snapToGrid w:val="0"/>
                    <w:jc w:val="center"/>
                    <w:rPr>
                      <w:rFonts w:hint="eastAsia" w:hAnsi="宋体"/>
                      <w:color w:val="auto"/>
                      <w:szCs w:val="21"/>
                    </w:rPr>
                  </w:pPr>
                  <w:r>
                    <w:rPr>
                      <w:rFonts w:hAnsi="宋体"/>
                      <w:color w:val="auto"/>
                      <w:szCs w:val="21"/>
                    </w:rPr>
                    <w:t>达标排放</w:t>
                  </w:r>
                </w:p>
              </w:tc>
              <w:tc>
                <w:tcPr>
                  <w:tcW w:w="899" w:type="dxa"/>
                  <w:vMerge w:val="restart"/>
                  <w:noWrap w:val="0"/>
                  <w:vAlign w:val="center"/>
                </w:tcPr>
                <w:p>
                  <w:pPr>
                    <w:widowControl/>
                    <w:adjustRightInd w:val="0"/>
                    <w:snapToGrid w:val="0"/>
                    <w:jc w:val="center"/>
                    <w:rPr>
                      <w:rFonts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749" w:type="dxa"/>
                  <w:vMerge w:val="restart"/>
                  <w:noWrap w:val="0"/>
                  <w:vAlign w:val="center"/>
                </w:tcPr>
                <w:p>
                  <w:pPr>
                    <w:widowControl/>
                    <w:adjustRightInd w:val="0"/>
                    <w:snapToGrid w:val="0"/>
                    <w:jc w:val="center"/>
                    <w:rPr>
                      <w:rFonts w:hAnsi="宋体"/>
                      <w:color w:val="auto"/>
                      <w:szCs w:val="21"/>
                    </w:rPr>
                  </w:pPr>
                  <w:r>
                    <w:rPr>
                      <w:rFonts w:hAnsi="宋体"/>
                      <w:color w:val="auto"/>
                      <w:szCs w:val="21"/>
                    </w:rPr>
                    <w:t>污水</w:t>
                  </w:r>
                </w:p>
                <w:p>
                  <w:pPr>
                    <w:widowControl/>
                    <w:adjustRightInd w:val="0"/>
                    <w:snapToGrid w:val="0"/>
                    <w:jc w:val="center"/>
                    <w:rPr>
                      <w:rFonts w:hAnsi="宋体"/>
                      <w:color w:val="auto"/>
                      <w:szCs w:val="21"/>
                    </w:rPr>
                  </w:pPr>
                  <w:r>
                    <w:rPr>
                      <w:rFonts w:hAnsi="宋体"/>
                      <w:color w:val="auto"/>
                      <w:szCs w:val="21"/>
                    </w:rPr>
                    <w:t>治理</w:t>
                  </w:r>
                </w:p>
              </w:tc>
              <w:tc>
                <w:tcPr>
                  <w:tcW w:w="1184" w:type="dxa"/>
                  <w:noWrap w:val="0"/>
                  <w:vAlign w:val="center"/>
                </w:tcPr>
                <w:p>
                  <w:pPr>
                    <w:widowControl/>
                    <w:adjustRightInd w:val="0"/>
                    <w:snapToGrid w:val="0"/>
                    <w:jc w:val="center"/>
                    <w:rPr>
                      <w:rFonts w:hint="eastAsia" w:hAnsi="宋体"/>
                      <w:color w:val="auto"/>
                      <w:szCs w:val="21"/>
                    </w:rPr>
                  </w:pPr>
                  <w:r>
                    <w:rPr>
                      <w:rFonts w:hint="eastAsia" w:hAnsi="宋体"/>
                      <w:color w:val="auto"/>
                      <w:szCs w:val="21"/>
                    </w:rPr>
                    <w:t>生活污水</w:t>
                  </w:r>
                </w:p>
              </w:tc>
              <w:tc>
                <w:tcPr>
                  <w:tcW w:w="4202" w:type="dxa"/>
                  <w:noWrap w:val="0"/>
                  <w:vAlign w:val="center"/>
                </w:tcPr>
                <w:p>
                  <w:pPr>
                    <w:widowControl/>
                    <w:adjustRightInd w:val="0"/>
                    <w:snapToGrid w:val="0"/>
                    <w:jc w:val="center"/>
                    <w:rPr>
                      <w:rFonts w:hint="default" w:hAnsi="宋体" w:eastAsia="宋体"/>
                      <w:color w:val="auto"/>
                      <w:szCs w:val="21"/>
                      <w:lang w:val="en-US" w:eastAsia="zh-CN"/>
                    </w:rPr>
                  </w:pPr>
                  <w:r>
                    <w:rPr>
                      <w:rFonts w:hint="default" w:hAnsi="宋体" w:eastAsia="宋体"/>
                      <w:color w:val="auto"/>
                      <w:szCs w:val="21"/>
                      <w:lang w:val="en-US" w:eastAsia="zh-CN"/>
                    </w:rPr>
                    <w:t>施工期洗漱废水用于施工场地洒水降尘，施工期建设环保型旱厕供施工人员如厕，定期清运</w:t>
                  </w:r>
                  <w:r>
                    <w:rPr>
                      <w:rFonts w:hint="eastAsia" w:hAnsi="宋体"/>
                      <w:color w:val="auto"/>
                      <w:szCs w:val="21"/>
                      <w:lang w:val="en-US" w:eastAsia="zh-CN"/>
                    </w:rPr>
                    <w:t>。</w:t>
                  </w:r>
                </w:p>
              </w:tc>
              <w:tc>
                <w:tcPr>
                  <w:tcW w:w="1104" w:type="dxa"/>
                  <w:vMerge w:val="restart"/>
                  <w:noWrap w:val="0"/>
                  <w:vAlign w:val="center"/>
                </w:tcPr>
                <w:p>
                  <w:pPr>
                    <w:widowControl/>
                    <w:adjustRightInd w:val="0"/>
                    <w:snapToGrid w:val="0"/>
                    <w:jc w:val="center"/>
                    <w:rPr>
                      <w:rFonts w:hint="eastAsia" w:hAnsi="宋体"/>
                      <w:color w:val="auto"/>
                      <w:szCs w:val="21"/>
                    </w:rPr>
                  </w:pPr>
                  <w:r>
                    <w:rPr>
                      <w:rFonts w:hint="eastAsia" w:hAnsi="宋体"/>
                      <w:color w:val="auto"/>
                      <w:szCs w:val="21"/>
                    </w:rPr>
                    <w:t>不得排入地表水体</w:t>
                  </w:r>
                </w:p>
              </w:tc>
              <w:tc>
                <w:tcPr>
                  <w:tcW w:w="899" w:type="dxa"/>
                  <w:vMerge w:val="continue"/>
                  <w:noWrap w:val="0"/>
                  <w:vAlign w:val="center"/>
                </w:tcPr>
                <w:p>
                  <w:pPr>
                    <w:widowControl/>
                    <w:adjustRightInd w:val="0"/>
                    <w:snapToGrid w:val="0"/>
                    <w:jc w:val="center"/>
                    <w:rPr>
                      <w:rFonts w:hint="eastAsia"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749" w:type="dxa"/>
                  <w:vMerge w:val="continue"/>
                  <w:noWrap w:val="0"/>
                  <w:vAlign w:val="center"/>
                </w:tcPr>
                <w:p>
                  <w:pPr>
                    <w:widowControl/>
                    <w:adjustRightInd w:val="0"/>
                    <w:snapToGrid w:val="0"/>
                    <w:jc w:val="center"/>
                    <w:rPr>
                      <w:rFonts w:hAnsi="宋体"/>
                      <w:color w:val="auto"/>
                      <w:szCs w:val="21"/>
                    </w:rPr>
                  </w:pPr>
                </w:p>
              </w:tc>
              <w:tc>
                <w:tcPr>
                  <w:tcW w:w="1184" w:type="dxa"/>
                  <w:noWrap w:val="0"/>
                  <w:vAlign w:val="center"/>
                </w:tcPr>
                <w:p>
                  <w:pPr>
                    <w:widowControl/>
                    <w:adjustRightInd w:val="0"/>
                    <w:snapToGrid w:val="0"/>
                    <w:jc w:val="center"/>
                    <w:rPr>
                      <w:rFonts w:hint="eastAsia" w:hAnsi="宋体"/>
                      <w:color w:val="auto"/>
                      <w:szCs w:val="21"/>
                    </w:rPr>
                  </w:pPr>
                  <w:r>
                    <w:rPr>
                      <w:rFonts w:hint="eastAsia" w:hAnsi="宋体"/>
                      <w:color w:val="auto"/>
                      <w:szCs w:val="21"/>
                    </w:rPr>
                    <w:t>生产废水</w:t>
                  </w:r>
                </w:p>
              </w:tc>
              <w:tc>
                <w:tcPr>
                  <w:tcW w:w="4202" w:type="dxa"/>
                  <w:noWrap w:val="0"/>
                  <w:vAlign w:val="center"/>
                </w:tcPr>
                <w:p>
                  <w:pPr>
                    <w:widowControl/>
                    <w:adjustRightInd w:val="0"/>
                    <w:snapToGrid w:val="0"/>
                    <w:jc w:val="center"/>
                    <w:rPr>
                      <w:rFonts w:hint="eastAsia" w:hAnsi="宋体" w:eastAsia="宋体"/>
                      <w:color w:val="auto"/>
                      <w:szCs w:val="21"/>
                      <w:lang w:eastAsia="zh-CN"/>
                    </w:rPr>
                  </w:pPr>
                  <w:r>
                    <w:rPr>
                      <w:rFonts w:hint="eastAsia" w:hAnsi="宋体" w:eastAsia="宋体"/>
                      <w:color w:val="auto"/>
                      <w:szCs w:val="21"/>
                      <w:lang w:eastAsia="zh-CN"/>
                    </w:rPr>
                    <w:t>本项目施工</w:t>
                  </w:r>
                  <w:r>
                    <w:rPr>
                      <w:rFonts w:hint="eastAsia" w:hAnsi="宋体" w:eastAsia="宋体"/>
                      <w:color w:val="auto"/>
                      <w:szCs w:val="21"/>
                      <w:highlight w:val="none"/>
                      <w:lang w:eastAsia="zh-CN"/>
                    </w:rPr>
                    <w:t>期车辆机械冲洗</w:t>
                  </w:r>
                  <w:r>
                    <w:rPr>
                      <w:rFonts w:hint="eastAsia" w:hAnsi="宋体"/>
                      <w:color w:val="auto"/>
                      <w:szCs w:val="21"/>
                      <w:highlight w:val="none"/>
                      <w:lang w:eastAsia="zh-CN"/>
                    </w:rPr>
                    <w:t>废水</w:t>
                  </w:r>
                  <w:r>
                    <w:rPr>
                      <w:rFonts w:hint="eastAsia" w:hAnsi="宋体" w:eastAsia="宋体"/>
                      <w:color w:val="auto"/>
                      <w:szCs w:val="21"/>
                      <w:highlight w:val="none"/>
                      <w:lang w:eastAsia="zh-CN"/>
                    </w:rPr>
                    <w:t>主要污染物SS。在</w:t>
                  </w:r>
                  <w:r>
                    <w:rPr>
                      <w:rFonts w:hint="eastAsia" w:hAnsi="宋体"/>
                      <w:color w:val="auto"/>
                      <w:szCs w:val="21"/>
                      <w:highlight w:val="none"/>
                      <w:lang w:eastAsia="zh-CN"/>
                    </w:rPr>
                    <w:t>各</w:t>
                  </w:r>
                  <w:r>
                    <w:rPr>
                      <w:rFonts w:hint="eastAsia" w:hAnsi="宋体" w:eastAsia="宋体"/>
                      <w:color w:val="auto"/>
                      <w:szCs w:val="21"/>
                      <w:highlight w:val="none"/>
                      <w:lang w:val="en-US" w:eastAsia="zh-CN"/>
                    </w:rPr>
                    <w:t>施工区域</w:t>
                  </w:r>
                  <w:r>
                    <w:rPr>
                      <w:rFonts w:hint="eastAsia" w:hAnsi="宋体" w:eastAsia="宋体"/>
                      <w:color w:val="auto"/>
                      <w:szCs w:val="21"/>
                      <w:highlight w:val="none"/>
                      <w:lang w:eastAsia="zh-CN"/>
                    </w:rPr>
                    <w:t>位置建设一个</w:t>
                  </w:r>
                  <w:r>
                    <w:rPr>
                      <w:rFonts w:hint="eastAsia" w:hAnsi="宋体"/>
                      <w:color w:val="auto"/>
                      <w:szCs w:val="21"/>
                      <w:highlight w:val="none"/>
                      <w:lang w:val="en-US" w:eastAsia="zh-CN"/>
                    </w:rPr>
                    <w:t>4</w:t>
                  </w:r>
                  <w:r>
                    <w:rPr>
                      <w:rFonts w:hint="eastAsia" w:hAnsi="宋体" w:eastAsia="宋体"/>
                      <w:color w:val="auto"/>
                      <w:szCs w:val="21"/>
                      <w:highlight w:val="none"/>
                      <w:lang w:eastAsia="zh-CN"/>
                    </w:rPr>
                    <w:t>m</w:t>
                  </w:r>
                  <w:r>
                    <w:rPr>
                      <w:rFonts w:hint="eastAsia" w:hAnsi="宋体" w:eastAsia="宋体"/>
                      <w:color w:val="auto"/>
                      <w:szCs w:val="21"/>
                      <w:highlight w:val="none"/>
                      <w:vertAlign w:val="superscript"/>
                      <w:lang w:eastAsia="zh-CN"/>
                    </w:rPr>
                    <w:t>3</w:t>
                  </w:r>
                  <w:r>
                    <w:rPr>
                      <w:rFonts w:hint="eastAsia" w:hAnsi="宋体" w:eastAsia="宋体"/>
                      <w:color w:val="auto"/>
                      <w:szCs w:val="21"/>
                      <w:highlight w:val="none"/>
                      <w:lang w:eastAsia="zh-CN"/>
                    </w:rPr>
                    <w:t>的</w:t>
                  </w:r>
                  <w:r>
                    <w:rPr>
                      <w:rFonts w:hint="eastAsia" w:hAnsi="宋体" w:eastAsia="宋体"/>
                      <w:color w:val="auto"/>
                      <w:szCs w:val="21"/>
                      <w:lang w:eastAsia="zh-CN"/>
                    </w:rPr>
                    <w:t>沉淀池，进行处理后用于泼洒抑尘，不外排</w:t>
                  </w:r>
                  <w:r>
                    <w:rPr>
                      <w:rFonts w:hint="eastAsia" w:hAnsi="宋体"/>
                      <w:color w:val="auto"/>
                      <w:szCs w:val="21"/>
                      <w:lang w:eastAsia="zh-CN"/>
                    </w:rPr>
                    <w:t>。</w:t>
                  </w:r>
                </w:p>
              </w:tc>
              <w:tc>
                <w:tcPr>
                  <w:tcW w:w="1104" w:type="dxa"/>
                  <w:vMerge w:val="continue"/>
                  <w:noWrap w:val="0"/>
                  <w:vAlign w:val="center"/>
                </w:tcPr>
                <w:p>
                  <w:pPr>
                    <w:widowControl/>
                    <w:adjustRightInd w:val="0"/>
                    <w:snapToGrid w:val="0"/>
                    <w:jc w:val="center"/>
                    <w:rPr>
                      <w:rFonts w:hint="eastAsia" w:hAnsi="宋体"/>
                      <w:color w:val="auto"/>
                      <w:szCs w:val="21"/>
                    </w:rPr>
                  </w:pPr>
                </w:p>
              </w:tc>
              <w:tc>
                <w:tcPr>
                  <w:tcW w:w="899" w:type="dxa"/>
                  <w:vMerge w:val="continue"/>
                  <w:noWrap w:val="0"/>
                  <w:vAlign w:val="center"/>
                </w:tcPr>
                <w:p>
                  <w:pPr>
                    <w:widowControl/>
                    <w:adjustRightInd w:val="0"/>
                    <w:snapToGrid w:val="0"/>
                    <w:jc w:val="center"/>
                    <w:rPr>
                      <w:rFonts w:hint="eastAsia"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749" w:type="dxa"/>
                  <w:noWrap w:val="0"/>
                  <w:vAlign w:val="center"/>
                </w:tcPr>
                <w:p>
                  <w:pPr>
                    <w:widowControl/>
                    <w:adjustRightInd w:val="0"/>
                    <w:snapToGrid w:val="0"/>
                    <w:jc w:val="center"/>
                    <w:rPr>
                      <w:rFonts w:hint="eastAsia" w:hAnsi="宋体"/>
                      <w:color w:val="auto"/>
                      <w:szCs w:val="21"/>
                    </w:rPr>
                  </w:pPr>
                  <w:r>
                    <w:rPr>
                      <w:rFonts w:hAnsi="宋体"/>
                      <w:color w:val="auto"/>
                      <w:szCs w:val="21"/>
                    </w:rPr>
                    <w:t>噪声</w:t>
                  </w:r>
                </w:p>
                <w:p>
                  <w:pPr>
                    <w:widowControl/>
                    <w:adjustRightInd w:val="0"/>
                    <w:snapToGrid w:val="0"/>
                    <w:jc w:val="center"/>
                    <w:rPr>
                      <w:rFonts w:hAnsi="宋体"/>
                      <w:color w:val="auto"/>
                      <w:szCs w:val="21"/>
                    </w:rPr>
                  </w:pPr>
                  <w:r>
                    <w:rPr>
                      <w:rFonts w:hAnsi="宋体"/>
                      <w:color w:val="auto"/>
                      <w:szCs w:val="21"/>
                    </w:rPr>
                    <w:t>治理</w:t>
                  </w:r>
                </w:p>
              </w:tc>
              <w:tc>
                <w:tcPr>
                  <w:tcW w:w="1184" w:type="dxa"/>
                  <w:noWrap w:val="0"/>
                  <w:vAlign w:val="center"/>
                </w:tcPr>
                <w:p>
                  <w:pPr>
                    <w:widowControl/>
                    <w:adjustRightInd w:val="0"/>
                    <w:snapToGrid w:val="0"/>
                    <w:jc w:val="center"/>
                    <w:rPr>
                      <w:rFonts w:hint="default" w:hAnsi="宋体" w:eastAsia="宋体"/>
                      <w:color w:val="auto"/>
                      <w:szCs w:val="21"/>
                      <w:lang w:val="en-US" w:eastAsia="zh-CN"/>
                    </w:rPr>
                  </w:pPr>
                  <w:r>
                    <w:rPr>
                      <w:rFonts w:hint="eastAsia" w:hAnsi="宋体"/>
                      <w:color w:val="auto"/>
                      <w:szCs w:val="21"/>
                      <w:lang w:val="en-US" w:eastAsia="zh-CN"/>
                    </w:rPr>
                    <w:t>施工机械及设备</w:t>
                  </w:r>
                </w:p>
              </w:tc>
              <w:tc>
                <w:tcPr>
                  <w:tcW w:w="4202" w:type="dxa"/>
                  <w:noWrap w:val="0"/>
                  <w:vAlign w:val="center"/>
                </w:tcPr>
                <w:p>
                  <w:pPr>
                    <w:widowControl/>
                    <w:adjustRightInd w:val="0"/>
                    <w:snapToGrid w:val="0"/>
                    <w:jc w:val="center"/>
                    <w:rPr>
                      <w:rFonts w:hint="eastAsia"/>
                      <w:color w:val="auto"/>
                      <w:spacing w:val="4"/>
                      <w:szCs w:val="21"/>
                      <w:lang w:eastAsia="zh-CN"/>
                    </w:rPr>
                  </w:pPr>
                  <w:r>
                    <w:rPr>
                      <w:rFonts w:hint="eastAsia"/>
                      <w:color w:val="auto"/>
                      <w:spacing w:val="4"/>
                      <w:szCs w:val="21"/>
                      <w:lang w:eastAsia="zh-CN"/>
                    </w:rPr>
                    <w:t>①选用低噪施工机械设备。</w:t>
                  </w:r>
                </w:p>
                <w:p>
                  <w:pPr>
                    <w:widowControl/>
                    <w:adjustRightInd w:val="0"/>
                    <w:snapToGrid w:val="0"/>
                    <w:jc w:val="center"/>
                    <w:rPr>
                      <w:rFonts w:hint="eastAsia"/>
                      <w:color w:val="auto"/>
                      <w:spacing w:val="4"/>
                      <w:szCs w:val="21"/>
                      <w:lang w:eastAsia="zh-CN"/>
                    </w:rPr>
                  </w:pPr>
                  <w:r>
                    <w:rPr>
                      <w:rFonts w:hint="eastAsia"/>
                      <w:color w:val="auto"/>
                      <w:spacing w:val="4"/>
                      <w:szCs w:val="21"/>
                      <w:lang w:eastAsia="zh-CN"/>
                    </w:rPr>
                    <w:t>②合理安排高噪设备施工时间。</w:t>
                  </w:r>
                </w:p>
                <w:p>
                  <w:pPr>
                    <w:widowControl/>
                    <w:adjustRightInd w:val="0"/>
                    <w:snapToGrid w:val="0"/>
                    <w:jc w:val="center"/>
                    <w:rPr>
                      <w:rFonts w:hint="eastAsia"/>
                      <w:color w:val="auto"/>
                      <w:spacing w:val="4"/>
                      <w:szCs w:val="21"/>
                      <w:lang w:eastAsia="zh-CN"/>
                    </w:rPr>
                  </w:pPr>
                  <w:r>
                    <w:rPr>
                      <w:rFonts w:hint="eastAsia"/>
                      <w:color w:val="auto"/>
                      <w:spacing w:val="4"/>
                      <w:szCs w:val="21"/>
                      <w:lang w:eastAsia="zh-CN"/>
                    </w:rPr>
                    <w:t>③物料运输路线尽量远离声敏感点。</w:t>
                  </w:r>
                </w:p>
              </w:tc>
              <w:tc>
                <w:tcPr>
                  <w:tcW w:w="1104" w:type="dxa"/>
                  <w:noWrap w:val="0"/>
                  <w:vAlign w:val="center"/>
                </w:tcPr>
                <w:p>
                  <w:pPr>
                    <w:widowControl/>
                    <w:adjustRightInd w:val="0"/>
                    <w:snapToGrid w:val="0"/>
                    <w:jc w:val="center"/>
                    <w:rPr>
                      <w:rFonts w:hAnsi="宋体"/>
                      <w:color w:val="auto"/>
                      <w:szCs w:val="21"/>
                    </w:rPr>
                  </w:pPr>
                  <w:r>
                    <w:rPr>
                      <w:rFonts w:hint="eastAsia" w:hAnsi="宋体"/>
                      <w:color w:val="auto"/>
                      <w:szCs w:val="21"/>
                      <w:lang w:eastAsia="zh-CN"/>
                    </w:rPr>
                    <w:t>施工场地</w:t>
                  </w:r>
                  <w:r>
                    <w:rPr>
                      <w:rFonts w:hAnsi="宋体"/>
                      <w:color w:val="auto"/>
                      <w:szCs w:val="21"/>
                    </w:rPr>
                    <w:t>外噪声达标</w:t>
                  </w:r>
                </w:p>
              </w:tc>
              <w:tc>
                <w:tcPr>
                  <w:tcW w:w="899" w:type="dxa"/>
                  <w:vMerge w:val="continue"/>
                  <w:noWrap w:val="0"/>
                  <w:vAlign w:val="center"/>
                </w:tcPr>
                <w:p>
                  <w:pPr>
                    <w:widowControl/>
                    <w:adjustRightInd w:val="0"/>
                    <w:snapToGrid w:val="0"/>
                    <w:jc w:val="center"/>
                    <w:rPr>
                      <w:rFonts w:hint="eastAsia" w:hAnsi="宋体"/>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749" w:type="dxa"/>
                  <w:noWrap w:val="0"/>
                  <w:vAlign w:val="center"/>
                </w:tcPr>
                <w:p>
                  <w:pPr>
                    <w:widowControl/>
                    <w:adjustRightInd w:val="0"/>
                    <w:snapToGrid w:val="0"/>
                    <w:jc w:val="center"/>
                    <w:rPr>
                      <w:rFonts w:hint="eastAsia" w:hAnsi="宋体"/>
                      <w:color w:val="auto"/>
                      <w:szCs w:val="21"/>
                    </w:rPr>
                  </w:pPr>
                  <w:r>
                    <w:rPr>
                      <w:rFonts w:hAnsi="宋体"/>
                      <w:color w:val="auto"/>
                      <w:szCs w:val="21"/>
                    </w:rPr>
                    <w:t>固废</w:t>
                  </w:r>
                </w:p>
                <w:p>
                  <w:pPr>
                    <w:widowControl/>
                    <w:adjustRightInd w:val="0"/>
                    <w:snapToGrid w:val="0"/>
                    <w:jc w:val="center"/>
                    <w:rPr>
                      <w:rFonts w:hAnsi="宋体"/>
                      <w:color w:val="auto"/>
                      <w:szCs w:val="21"/>
                    </w:rPr>
                  </w:pPr>
                  <w:r>
                    <w:rPr>
                      <w:rFonts w:hAnsi="宋体"/>
                      <w:color w:val="auto"/>
                      <w:szCs w:val="21"/>
                    </w:rPr>
                    <w:t>治理</w:t>
                  </w:r>
                </w:p>
              </w:tc>
              <w:tc>
                <w:tcPr>
                  <w:tcW w:w="1184" w:type="dxa"/>
                  <w:noWrap w:val="0"/>
                  <w:vAlign w:val="center"/>
                </w:tcPr>
                <w:p>
                  <w:pPr>
                    <w:widowControl/>
                    <w:adjustRightInd w:val="0"/>
                    <w:snapToGrid w:val="0"/>
                    <w:jc w:val="center"/>
                    <w:rPr>
                      <w:rFonts w:hint="default" w:hAnsi="宋体" w:eastAsia="宋体"/>
                      <w:color w:val="auto"/>
                      <w:szCs w:val="21"/>
                      <w:lang w:val="en-US" w:eastAsia="zh-CN"/>
                    </w:rPr>
                  </w:pPr>
                  <w:r>
                    <w:rPr>
                      <w:rFonts w:hint="eastAsia" w:ascii="Times New Roman" w:hAnsi="Times New Roman" w:eastAsia="宋体" w:cs="Times New Roman"/>
                      <w:color w:val="auto"/>
                      <w:sz w:val="21"/>
                      <w:szCs w:val="21"/>
                      <w:lang w:val="en-US" w:eastAsia="zh-CN"/>
                    </w:rPr>
                    <w:t>建筑垃圾、</w:t>
                  </w:r>
                  <w:r>
                    <w:rPr>
                      <w:rFonts w:hint="default" w:ascii="Times New Roman" w:hAnsi="Times New Roman" w:eastAsia="宋体" w:cs="Times New Roman"/>
                      <w:color w:val="auto"/>
                      <w:sz w:val="21"/>
                      <w:szCs w:val="21"/>
                    </w:rPr>
                    <w:t>生活垃圾</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清基土方</w:t>
                  </w:r>
                </w:p>
              </w:tc>
              <w:tc>
                <w:tcPr>
                  <w:tcW w:w="4202" w:type="dxa"/>
                  <w:noWrap w:val="0"/>
                  <w:vAlign w:val="center"/>
                </w:tcPr>
                <w:p>
                  <w:pPr>
                    <w:widowControl/>
                    <w:numPr>
                      <w:ilvl w:val="0"/>
                      <w:numId w:val="0"/>
                    </w:numPr>
                    <w:adjustRightInd w:val="0"/>
                    <w:snapToGrid w:val="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1、不可用于回填部分作为弃土统一堆放处理；</w:t>
                  </w:r>
                </w:p>
                <w:p>
                  <w:pPr>
                    <w:widowControl/>
                    <w:numPr>
                      <w:ilvl w:val="0"/>
                      <w:numId w:val="0"/>
                    </w:numPr>
                    <w:adjustRightInd w:val="0"/>
                    <w:snapToGrid w:val="0"/>
                    <w:ind w:leftChars="0"/>
                    <w:jc w:val="left"/>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2、建筑垃圾清运至市政规定的建筑垃圾堆放场地；</w:t>
                  </w:r>
                </w:p>
                <w:p>
                  <w:pPr>
                    <w:widowControl/>
                    <w:numPr>
                      <w:ilvl w:val="0"/>
                      <w:numId w:val="0"/>
                    </w:numPr>
                    <w:adjustRightInd w:val="0"/>
                    <w:snapToGrid w:val="0"/>
                    <w:ind w:leftChars="0"/>
                    <w:jc w:val="left"/>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3、施工营地的生活垃圾</w:t>
                  </w:r>
                  <w:r>
                    <w:rPr>
                      <w:rFonts w:hint="eastAsia" w:cs="Times New Roman"/>
                      <w:color w:val="auto"/>
                      <w:sz w:val="21"/>
                      <w:szCs w:val="21"/>
                      <w:lang w:val="en-US" w:eastAsia="zh-CN"/>
                    </w:rPr>
                    <w:t>集中</w:t>
                  </w:r>
                  <w:r>
                    <w:rPr>
                      <w:rFonts w:hint="eastAsia" w:ascii="Times New Roman" w:hAnsi="Times New Roman" w:cs="Times New Roman"/>
                      <w:color w:val="auto"/>
                      <w:sz w:val="21"/>
                      <w:szCs w:val="21"/>
                      <w:lang w:val="en-US" w:eastAsia="zh-CN"/>
                    </w:rPr>
                    <w:t>收集后及时清运至就近生活垃圾中转站</w:t>
                  </w:r>
                  <w:r>
                    <w:rPr>
                      <w:rFonts w:hint="default" w:ascii="Times New Roman" w:hAnsi="Times New Roman" w:eastAsia="宋体" w:cs="Times New Roman"/>
                      <w:color w:val="auto"/>
                      <w:sz w:val="21"/>
                      <w:szCs w:val="21"/>
                    </w:rPr>
                    <w:t>；</w:t>
                  </w:r>
                </w:p>
                <w:p>
                  <w:pPr>
                    <w:widowControl/>
                    <w:numPr>
                      <w:ilvl w:val="0"/>
                      <w:numId w:val="0"/>
                    </w:numPr>
                    <w:adjustRightInd w:val="0"/>
                    <w:snapToGrid w:val="0"/>
                    <w:ind w:leftChars="0"/>
                    <w:jc w:val="left"/>
                    <w:rPr>
                      <w:rFonts w:hint="default" w:ascii="Times New Roman" w:hAnsi="Times New Roman" w:cs="Times New Roman"/>
                      <w:color w:val="auto"/>
                      <w:szCs w:val="21"/>
                    </w:rPr>
                  </w:pP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en-US" w:eastAsia="zh-CN"/>
                    </w:rPr>
                    <w:t>清基土方全部用于生态恢复以及平整洼地</w:t>
                  </w:r>
                  <w:r>
                    <w:rPr>
                      <w:rFonts w:hint="default" w:ascii="Times New Roman" w:hAnsi="Times New Roman" w:eastAsia="宋体" w:cs="Times New Roman"/>
                      <w:color w:val="auto"/>
                      <w:sz w:val="21"/>
                      <w:szCs w:val="21"/>
                      <w:lang w:eastAsia="zh-CN"/>
                    </w:rPr>
                    <w:t>。</w:t>
                  </w:r>
                </w:p>
              </w:tc>
              <w:tc>
                <w:tcPr>
                  <w:tcW w:w="1104" w:type="dxa"/>
                  <w:noWrap w:val="0"/>
                  <w:vAlign w:val="center"/>
                </w:tcPr>
                <w:p>
                  <w:pPr>
                    <w:widowControl/>
                    <w:adjustRightInd w:val="0"/>
                    <w:snapToGrid w:val="0"/>
                    <w:jc w:val="center"/>
                    <w:rPr>
                      <w:rFonts w:hAnsi="宋体"/>
                      <w:color w:val="auto"/>
                      <w:szCs w:val="21"/>
                    </w:rPr>
                  </w:pPr>
                  <w:r>
                    <w:rPr>
                      <w:rFonts w:hAnsi="宋体"/>
                      <w:color w:val="auto"/>
                      <w:szCs w:val="21"/>
                    </w:rPr>
                    <w:t>处置</w:t>
                  </w:r>
                  <w:r>
                    <w:rPr>
                      <w:rFonts w:hint="default" w:ascii="Times New Roman" w:hAnsi="Times New Roman" w:cs="Times New Roman"/>
                      <w:color w:val="auto"/>
                      <w:szCs w:val="21"/>
                    </w:rPr>
                    <w:t>率100%</w:t>
                  </w:r>
                </w:p>
              </w:tc>
              <w:tc>
                <w:tcPr>
                  <w:tcW w:w="899" w:type="dxa"/>
                  <w:vMerge w:val="continue"/>
                  <w:noWrap w:val="0"/>
                  <w:vAlign w:val="center"/>
                </w:tcPr>
                <w:p>
                  <w:pPr>
                    <w:widowControl/>
                    <w:adjustRightInd w:val="0"/>
                    <w:snapToGrid w:val="0"/>
                    <w:jc w:val="center"/>
                    <w:rPr>
                      <w:rFonts w:hint="default" w:hAnsi="宋体" w:eastAsia="宋体"/>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7" w:type="dxa"/>
                  <w:bottom w:w="0" w:type="dxa"/>
                  <w:right w:w="17" w:type="dxa"/>
                </w:tblCellMar>
              </w:tblPrEx>
              <w:trPr>
                <w:trHeight w:val="340" w:hRule="atLeast"/>
                <w:jc w:val="center"/>
              </w:trPr>
              <w:tc>
                <w:tcPr>
                  <w:tcW w:w="749" w:type="dxa"/>
                  <w:noWrap w:val="0"/>
                  <w:vAlign w:val="center"/>
                </w:tcPr>
                <w:p>
                  <w:pPr>
                    <w:widowControl/>
                    <w:adjustRightInd w:val="0"/>
                    <w:snapToGrid w:val="0"/>
                    <w:jc w:val="center"/>
                    <w:rPr>
                      <w:rFonts w:hint="eastAsia" w:hAnsi="宋体"/>
                      <w:color w:val="auto"/>
                      <w:szCs w:val="21"/>
                    </w:rPr>
                  </w:pPr>
                  <w:r>
                    <w:rPr>
                      <w:rFonts w:hint="eastAsia" w:hAnsi="宋体"/>
                      <w:color w:val="auto"/>
                      <w:szCs w:val="21"/>
                    </w:rPr>
                    <w:t>生态治理</w:t>
                  </w:r>
                </w:p>
              </w:tc>
              <w:tc>
                <w:tcPr>
                  <w:tcW w:w="5386" w:type="dxa"/>
                  <w:gridSpan w:val="2"/>
                  <w:noWrap w:val="0"/>
                  <w:vAlign w:val="center"/>
                </w:tcPr>
                <w:p>
                  <w:pPr>
                    <w:widowControl/>
                    <w:adjustRightInd w:val="0"/>
                    <w:snapToGrid w:val="0"/>
                    <w:ind w:firstLine="420" w:firstLineChars="200"/>
                    <w:jc w:val="left"/>
                    <w:rPr>
                      <w:rFonts w:hint="eastAsia" w:hAnsi="宋体"/>
                      <w:color w:val="auto"/>
                      <w:szCs w:val="21"/>
                    </w:rPr>
                  </w:pPr>
                  <w:r>
                    <w:rPr>
                      <w:rFonts w:hint="eastAsia" w:hAnsi="宋体"/>
                      <w:color w:val="auto"/>
                      <w:szCs w:val="21"/>
                    </w:rPr>
                    <w:t>本项目造成的生态破坏主要表现在以下几点：施工期挖方等对原地貌破坏较小，但挖方会损坏部分地表植被覆盖，导致地面状况和性质的改变。植被破坏后，地表失去了植被的覆盖，在雨水和地表径流的作用下，土壤丧失了植物根系的固土作用，极易造成水土流失。同时，开挖后形成的边坡和弃土弃渣等松散堆积，结构松散，胶结力差，在重力和水力作用下，稳定性</w:t>
                  </w:r>
                  <w:r>
                    <w:rPr>
                      <w:rFonts w:hint="eastAsia" w:hAnsi="宋体"/>
                      <w:color w:val="auto"/>
                      <w:szCs w:val="21"/>
                      <w:lang w:val="en-US" w:eastAsia="zh-CN"/>
                    </w:rPr>
                    <w:t xml:space="preserve"> </w:t>
                  </w:r>
                  <w:r>
                    <w:rPr>
                      <w:rFonts w:hint="eastAsia" w:hAnsi="宋体"/>
                      <w:color w:val="auto"/>
                      <w:szCs w:val="21"/>
                    </w:rPr>
                    <w:t>急剧下降，易引发跨塌，甚至滑坡，造成人为的、新的水土流失。</w:t>
                  </w:r>
                </w:p>
              </w:tc>
              <w:tc>
                <w:tcPr>
                  <w:tcW w:w="1104" w:type="dxa"/>
                  <w:noWrap w:val="0"/>
                  <w:vAlign w:val="center"/>
                </w:tcPr>
                <w:p>
                  <w:pPr>
                    <w:widowControl/>
                    <w:adjustRightInd w:val="0"/>
                    <w:snapToGrid w:val="0"/>
                    <w:jc w:val="center"/>
                    <w:rPr>
                      <w:rFonts w:hint="eastAsia" w:hAnsi="宋体"/>
                      <w:color w:val="auto"/>
                      <w:szCs w:val="21"/>
                    </w:rPr>
                  </w:pPr>
                  <w:r>
                    <w:rPr>
                      <w:rFonts w:hint="eastAsia" w:hAnsi="宋体"/>
                      <w:color w:val="auto"/>
                      <w:szCs w:val="21"/>
                    </w:rPr>
                    <w:t>恢复原貌</w:t>
                  </w:r>
                </w:p>
              </w:tc>
              <w:tc>
                <w:tcPr>
                  <w:tcW w:w="899" w:type="dxa"/>
                  <w:vMerge w:val="continue"/>
                  <w:noWrap w:val="0"/>
                  <w:vAlign w:val="center"/>
                </w:tcPr>
                <w:p>
                  <w:pPr>
                    <w:widowControl/>
                    <w:adjustRightInd w:val="0"/>
                    <w:snapToGrid w:val="0"/>
                    <w:jc w:val="center"/>
                    <w:rPr>
                      <w:rFonts w:hint="eastAsia" w:hAnsi="宋体"/>
                      <w:color w:val="auto"/>
                      <w:szCs w:val="21"/>
                    </w:rPr>
                  </w:pPr>
                </w:p>
              </w:tc>
            </w:tr>
          </w:tbl>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tabs>
                <w:tab w:val="left" w:pos="1424"/>
              </w:tabs>
              <w:bidi w:val="0"/>
              <w:spacing w:line="240" w:lineRule="auto"/>
              <w:ind w:left="0" w:leftChars="0" w:firstLine="0" w:firstLineChars="0"/>
              <w:rPr>
                <w:rFonts w:hint="default" w:ascii="Times New Roman" w:hAnsi="Times New Roman" w:cs="Times New Roman"/>
                <w:color w:val="auto"/>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1" w:hRule="atLeast"/>
          <w:jc w:val="center"/>
        </w:trPr>
        <w:tc>
          <w:tcPr>
            <w:tcW w:w="738" w:type="dxa"/>
            <w:vAlign w:val="center"/>
          </w:tcPr>
          <w:p>
            <w:pPr>
              <w:jc w:val="center"/>
              <w:rPr>
                <w:rFonts w:hint="default" w:ascii="Times New Roman" w:hAnsi="Times New Roman" w:cs="Times New Roman"/>
                <w:b/>
                <w:bCs/>
                <w:color w:val="auto"/>
                <w:kern w:val="2"/>
                <w:sz w:val="24"/>
                <w:szCs w:val="24"/>
                <w:highlight w:val="none"/>
                <w:lang w:val="en-US" w:eastAsia="zh-CN" w:bidi="ar-SA"/>
              </w:rPr>
            </w:pPr>
            <w:r>
              <w:rPr>
                <w:rFonts w:hint="default" w:ascii="Times New Roman" w:hAnsi="Times New Roman" w:cs="Times New Roman"/>
                <w:b/>
                <w:bCs/>
                <w:color w:val="auto"/>
                <w:kern w:val="2"/>
                <w:sz w:val="24"/>
                <w:szCs w:val="24"/>
                <w:highlight w:val="none"/>
                <w:lang w:val="en-US" w:eastAsia="zh-CN" w:bidi="ar-SA"/>
              </w:rPr>
              <w:t>环保投资</w:t>
            </w:r>
          </w:p>
        </w:tc>
        <w:tc>
          <w:tcPr>
            <w:tcW w:w="8616" w:type="dxa"/>
            <w:vAlign w:val="center"/>
          </w:tcPr>
          <w:p>
            <w:pPr>
              <w:pStyle w:val="49"/>
              <w:keepNext w:val="0"/>
              <w:keepLines w:val="0"/>
              <w:pageBreakBefore w:val="0"/>
              <w:widowControl w:val="0"/>
              <w:kinsoku/>
              <w:wordWrap/>
              <w:overflowPunct w:val="0"/>
              <w:topLinePunct w:val="0"/>
              <w:autoSpaceDE/>
              <w:autoSpaceDN/>
              <w:bidi w:val="0"/>
              <w:adjustRightInd w:val="0"/>
              <w:snapToGrid w:val="0"/>
              <w:spacing w:line="312" w:lineRule="auto"/>
              <w:textAlignment w:val="auto"/>
              <w:rPr>
                <w:rFonts w:hint="default" w:ascii="Times New Roman" w:hAnsi="Times New Roman" w:cs="Times New Roman"/>
                <w:color w:val="auto"/>
              </w:rPr>
            </w:pPr>
            <w:r>
              <w:rPr>
                <w:rFonts w:hint="default" w:ascii="Times New Roman" w:hAnsi="Times New Roman" w:cs="Times New Roman"/>
                <w:color w:val="auto"/>
                <w:lang w:eastAsia="zh-CN"/>
              </w:rPr>
              <w:t>本项目</w:t>
            </w:r>
            <w:r>
              <w:rPr>
                <w:rFonts w:hint="default" w:ascii="Times New Roman" w:hAnsi="Times New Roman" w:cs="Times New Roman"/>
                <w:color w:val="auto"/>
              </w:rPr>
              <w:t>总投</w:t>
            </w:r>
            <w:r>
              <w:rPr>
                <w:rFonts w:hint="default" w:ascii="Times New Roman" w:hAnsi="Times New Roman" w:cs="Times New Roman"/>
                <w:color w:val="auto"/>
                <w:highlight w:val="none"/>
              </w:rPr>
              <w:t>资</w:t>
            </w:r>
            <w:r>
              <w:rPr>
                <w:rFonts w:hint="eastAsia" w:cs="Times New Roman"/>
                <w:color w:val="auto"/>
                <w:highlight w:val="none"/>
                <w:lang w:val="en-US" w:eastAsia="zh-CN"/>
              </w:rPr>
              <w:t>365000.00</w:t>
            </w:r>
            <w:r>
              <w:rPr>
                <w:rFonts w:hint="default" w:ascii="Times New Roman" w:hAnsi="Times New Roman" w:cs="Times New Roman"/>
                <w:color w:val="auto"/>
                <w:highlight w:val="none"/>
                <w:lang w:eastAsia="zh-CN"/>
              </w:rPr>
              <w:t>万元</w:t>
            </w:r>
            <w:r>
              <w:rPr>
                <w:rFonts w:hint="default" w:ascii="Times New Roman" w:hAnsi="Times New Roman" w:cs="Times New Roman"/>
                <w:color w:val="auto"/>
                <w:highlight w:val="none"/>
              </w:rPr>
              <w:t>，其中环保投资为</w:t>
            </w:r>
            <w:r>
              <w:rPr>
                <w:rFonts w:hint="eastAsia" w:cs="Times New Roman"/>
                <w:color w:val="auto"/>
                <w:highlight w:val="none"/>
                <w:lang w:val="en-US" w:eastAsia="zh-CN"/>
              </w:rPr>
              <w:t>185.0</w:t>
            </w:r>
            <w:r>
              <w:rPr>
                <w:rFonts w:hint="default" w:ascii="Times New Roman" w:hAnsi="Times New Roman" w:cs="Times New Roman"/>
                <w:color w:val="auto"/>
                <w:highlight w:val="none"/>
                <w:lang w:val="en-US" w:eastAsia="zh-CN"/>
              </w:rPr>
              <w:t>万元</w:t>
            </w:r>
            <w:r>
              <w:rPr>
                <w:rFonts w:hint="default" w:ascii="Times New Roman" w:hAnsi="Times New Roman" w:cs="Times New Roman"/>
                <w:color w:val="auto"/>
                <w:highlight w:val="none"/>
              </w:rPr>
              <w:t>，占总投资的</w:t>
            </w:r>
            <w:r>
              <w:rPr>
                <w:rFonts w:hint="eastAsia" w:cs="Times New Roman"/>
                <w:color w:val="auto"/>
                <w:highlight w:val="none"/>
                <w:lang w:val="en-US" w:eastAsia="zh-CN"/>
              </w:rPr>
              <w:t>0.50</w:t>
            </w:r>
            <w:r>
              <w:rPr>
                <w:rFonts w:hint="default" w:ascii="Times New Roman" w:hAnsi="Times New Roman" w:cs="Times New Roman"/>
                <w:color w:val="auto"/>
                <w:highlight w:val="none"/>
              </w:rPr>
              <w:t>%，</w:t>
            </w:r>
            <w:r>
              <w:rPr>
                <w:rFonts w:hint="default" w:ascii="Times New Roman" w:hAnsi="Times New Roman" w:cs="Times New Roman"/>
                <w:color w:val="auto"/>
              </w:rPr>
              <w:t>环保投资具体见表</w:t>
            </w:r>
            <w:r>
              <w:rPr>
                <w:rFonts w:hint="eastAsia" w:cs="Times New Roman"/>
                <w:color w:val="auto"/>
                <w:lang w:val="en-US" w:eastAsia="zh-CN"/>
              </w:rPr>
              <w:t>27</w:t>
            </w:r>
            <w:r>
              <w:rPr>
                <w:rFonts w:hint="default" w:ascii="Times New Roman" w:hAnsi="Times New Roman" w:cs="Times New Roman"/>
                <w:color w:val="auto"/>
              </w:rPr>
              <w:t>。</w:t>
            </w:r>
          </w:p>
          <w:p>
            <w:pPr>
              <w:pStyle w:val="101"/>
              <w:bidi w:val="0"/>
              <w:ind w:firstLine="480" w:firstLineChars="200"/>
              <w:jc w:val="both"/>
              <w:rPr>
                <w:rFonts w:hint="default" w:ascii="Times New Roman" w:hAnsi="Times New Roman" w:eastAsia="黑体"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kern w:val="2"/>
                <w:sz w:val="24"/>
                <w:szCs w:val="24"/>
                <w:highlight w:val="none"/>
                <w:lang w:val="en-US" w:eastAsia="zh-CN" w:bidi="ar-SA"/>
              </w:rPr>
              <w:t>表27                  环保投资一览表               单位：万元</w:t>
            </w:r>
          </w:p>
          <w:tbl>
            <w:tblPr>
              <w:tblStyle w:val="28"/>
              <w:tblW w:w="83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1300"/>
              <w:gridCol w:w="5222"/>
              <w:gridCol w:w="1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801" w:type="dxa"/>
                  <w:noWrap w:val="0"/>
                  <w:tcMar>
                    <w:top w:w="0" w:type="dxa"/>
                    <w:left w:w="0" w:type="dxa"/>
                    <w:bottom w:w="0" w:type="dxa"/>
                    <w:right w:w="0" w:type="dxa"/>
                  </w:tcMar>
                  <w:vAlign w:val="center"/>
                </w:tcPr>
                <w:p>
                  <w:pPr>
                    <w:jc w:val="center"/>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eastAsia="zh-CN"/>
                    </w:rPr>
                    <w:t>分类</w:t>
                  </w:r>
                </w:p>
              </w:tc>
              <w:tc>
                <w:tcPr>
                  <w:tcW w:w="1300" w:type="dxa"/>
                  <w:noWrap w:val="0"/>
                  <w:tcMar>
                    <w:top w:w="0" w:type="dxa"/>
                    <w:left w:w="0" w:type="dxa"/>
                    <w:bottom w:w="0" w:type="dxa"/>
                    <w:right w:w="0" w:type="dxa"/>
                  </w:tcMar>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投资项目</w:t>
                  </w:r>
                </w:p>
              </w:tc>
              <w:tc>
                <w:tcPr>
                  <w:tcW w:w="5222" w:type="dxa"/>
                  <w:noWrap w:val="0"/>
                  <w:tcMar>
                    <w:top w:w="0" w:type="dxa"/>
                    <w:left w:w="0" w:type="dxa"/>
                    <w:bottom w:w="0" w:type="dxa"/>
                    <w:right w:w="0" w:type="dxa"/>
                  </w:tcMar>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投资内容</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投资金额（万元）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Merge w:val="restart"/>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eastAsia="zh-CN"/>
                    </w:rPr>
                    <w:t>施工期</w:t>
                  </w:r>
                </w:p>
              </w:tc>
              <w:tc>
                <w:tcPr>
                  <w:tcW w:w="1300"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废气治理</w:t>
                  </w:r>
                </w:p>
              </w:tc>
              <w:tc>
                <w:tcPr>
                  <w:tcW w:w="5222"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lang w:val="en-US" w:eastAsia="zh-CN"/>
                    </w:rPr>
                    <w:t>扬尘治理：施工现场设置2.5m高围栏；物料及临时开挖的土方采取围挡、遮盖、及时洒水等防尘措施。</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Merge w:val="continue"/>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rPr>
                  </w:pPr>
                </w:p>
              </w:tc>
              <w:tc>
                <w:tcPr>
                  <w:tcW w:w="1300"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废水治理</w:t>
                  </w:r>
                </w:p>
              </w:tc>
              <w:tc>
                <w:tcPr>
                  <w:tcW w:w="5222"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val="en-US" w:eastAsia="zh-CN"/>
                    </w:rPr>
                    <w:t>排水主要为生活污水及施工生产废水。施工期生活污水主要为洗漱废水，用于施工场地洒水降尘，施工期建设环保型旱厕供施工人员如厕，定期清运；生产废水主要为施工机械冲洗废水，在各施工营地设置沉淀池1座，对清洗废水沉淀后用于洒水降尘，不外排。</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1</w:t>
                  </w:r>
                  <w:r>
                    <w:rPr>
                      <w:rFonts w:hint="eastAsia" w:cs="Times New Roman"/>
                      <w:b w:val="0"/>
                      <w:bCs w:val="0"/>
                      <w:color w:val="auto"/>
                      <w:lang w:val="en-US" w:eastAsia="zh-CN"/>
                    </w:rPr>
                    <w:t>5</w:t>
                  </w:r>
                  <w:r>
                    <w:rPr>
                      <w:rFonts w:hint="default" w:ascii="Times New Roman" w:hAnsi="Times New Roman" w:eastAsia="宋体" w:cs="Times New Roman"/>
                      <w:b w:val="0"/>
                      <w:bCs w:val="0"/>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Merge w:val="continue"/>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rPr>
                  </w:pPr>
                </w:p>
              </w:tc>
              <w:tc>
                <w:tcPr>
                  <w:tcW w:w="1300"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噪声治理</w:t>
                  </w:r>
                </w:p>
              </w:tc>
              <w:tc>
                <w:tcPr>
                  <w:tcW w:w="5222"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rPr>
                    <w:t>施工采用低噪声机械设备，</w:t>
                  </w:r>
                  <w:r>
                    <w:rPr>
                      <w:rFonts w:hint="default" w:ascii="Times New Roman" w:hAnsi="Times New Roman" w:eastAsia="宋体" w:cs="Times New Roman"/>
                      <w:b w:val="0"/>
                      <w:bCs w:val="0"/>
                      <w:color w:val="auto"/>
                      <w:lang w:eastAsia="zh-CN"/>
                    </w:rPr>
                    <w:t>采取基础减振，</w:t>
                  </w:r>
                  <w:r>
                    <w:rPr>
                      <w:rFonts w:hint="default" w:ascii="Times New Roman" w:hAnsi="Times New Roman" w:eastAsia="宋体" w:cs="Times New Roman"/>
                      <w:b w:val="0"/>
                      <w:bCs w:val="0"/>
                      <w:color w:val="auto"/>
                    </w:rPr>
                    <w:t>定期维护保养</w:t>
                  </w:r>
                  <w:r>
                    <w:rPr>
                      <w:rFonts w:hint="default" w:ascii="Times New Roman" w:hAnsi="Times New Roman" w:eastAsia="宋体" w:cs="Times New Roman"/>
                      <w:b w:val="0"/>
                      <w:bCs w:val="0"/>
                      <w:color w:val="auto"/>
                      <w:lang w:eastAsia="zh-CN"/>
                    </w:rPr>
                    <w:t>。</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Merge w:val="continue"/>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rPr>
                  </w:pPr>
                </w:p>
              </w:tc>
              <w:tc>
                <w:tcPr>
                  <w:tcW w:w="1300"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rPr>
                  </w:pPr>
                  <w:r>
                    <w:rPr>
                      <w:rFonts w:hint="default" w:ascii="Times New Roman" w:hAnsi="Times New Roman" w:eastAsia="宋体" w:cs="Times New Roman"/>
                      <w:b w:val="0"/>
                      <w:bCs w:val="0"/>
                      <w:color w:val="auto"/>
                    </w:rPr>
                    <w:t>固废处理</w:t>
                  </w:r>
                </w:p>
              </w:tc>
              <w:tc>
                <w:tcPr>
                  <w:tcW w:w="5222"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rPr>
                    <w:t>不可用于回填部分作为弃土统一堆放处理</w:t>
                  </w:r>
                  <w:r>
                    <w:rPr>
                      <w:rFonts w:hint="default" w:ascii="Times New Roman" w:hAnsi="Times New Roman" w:eastAsia="宋体" w:cs="Times New Roman"/>
                      <w:b w:val="0"/>
                      <w:bCs w:val="0"/>
                      <w:color w:val="auto"/>
                      <w:lang w:eastAsia="zh-CN"/>
                    </w:rPr>
                    <w:t>；</w:t>
                  </w:r>
                  <w:r>
                    <w:rPr>
                      <w:rFonts w:hint="default" w:ascii="Times New Roman" w:hAnsi="Times New Roman" w:eastAsia="宋体" w:cs="Times New Roman"/>
                      <w:b w:val="0"/>
                      <w:bCs w:val="0"/>
                      <w:color w:val="auto"/>
                      <w:lang w:val="en-US" w:eastAsia="zh-CN"/>
                    </w:rPr>
                    <w:t>生活垃圾收集后定期送至市政部门规定地点拉运处置；建筑垃圾回用于场内检修道路的修筑，不能回用的，送指定的垃圾填埋场处置。</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12</w:t>
                  </w:r>
                  <w:r>
                    <w:rPr>
                      <w:rFonts w:hint="default" w:ascii="Times New Roman" w:hAnsi="Times New Roman" w:eastAsia="宋体" w:cs="Times New Roman"/>
                      <w:b w:val="0"/>
                      <w:bCs w:val="0"/>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801" w:type="dxa"/>
                  <w:vMerge w:val="continue"/>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rPr>
                  </w:pPr>
                </w:p>
              </w:tc>
              <w:tc>
                <w:tcPr>
                  <w:tcW w:w="1300"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eastAsia="zh-CN"/>
                    </w:rPr>
                    <w:t>施工期生态环境治理</w:t>
                  </w:r>
                </w:p>
              </w:tc>
              <w:tc>
                <w:tcPr>
                  <w:tcW w:w="5222"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val="en-US" w:eastAsia="zh-CN"/>
                    </w:rPr>
                    <w:t>项目</w:t>
                  </w:r>
                  <w:r>
                    <w:rPr>
                      <w:rFonts w:hint="eastAsia" w:cs="Times New Roman"/>
                      <w:b w:val="0"/>
                      <w:bCs w:val="0"/>
                      <w:color w:val="auto"/>
                      <w:lang w:val="en-US" w:eastAsia="zh-CN"/>
                    </w:rPr>
                    <w:t>风机基础、箱变基础</w:t>
                  </w:r>
                  <w:r>
                    <w:rPr>
                      <w:rFonts w:hint="default" w:ascii="Times New Roman" w:hAnsi="Times New Roman" w:eastAsia="宋体" w:cs="Times New Roman"/>
                      <w:b w:val="0"/>
                      <w:bCs w:val="0"/>
                      <w:color w:val="auto"/>
                      <w:lang w:val="en-US" w:eastAsia="zh-CN"/>
                    </w:rPr>
                    <w:t>施工及水土保持工程等开挖的表土单独堆存、设拦挡设施，并采用抑尘网遮盖，利于后续绿化；场地水土保持。</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100</w:t>
                  </w:r>
                  <w:r>
                    <w:rPr>
                      <w:rFonts w:hint="default" w:ascii="Times New Roman" w:hAnsi="Times New Roman" w:eastAsia="宋体" w:cs="Times New Roman"/>
                      <w:b w:val="0"/>
                      <w:bCs w:val="0"/>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Merge w:val="restart"/>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eastAsia="zh-CN"/>
                    </w:rPr>
                    <w:t>营运期</w:t>
                  </w:r>
                </w:p>
              </w:tc>
              <w:tc>
                <w:tcPr>
                  <w:tcW w:w="1300"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eastAsia="zh-CN"/>
                    </w:rPr>
                    <w:t>环境监测</w:t>
                  </w:r>
                </w:p>
              </w:tc>
              <w:tc>
                <w:tcPr>
                  <w:tcW w:w="5222"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eastAsia="zh-CN"/>
                    </w:rPr>
                    <w:t>按照监测计划，定期进行环境监测</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8</w:t>
                  </w:r>
                  <w:r>
                    <w:rPr>
                      <w:rFonts w:hint="default" w:ascii="Times New Roman" w:hAnsi="Times New Roman" w:eastAsia="宋体" w:cs="Times New Roman"/>
                      <w:b w:val="0"/>
                      <w:bCs w:val="0"/>
                      <w:color w:val="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Merge w:val="continue"/>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p>
              </w:tc>
              <w:tc>
                <w:tcPr>
                  <w:tcW w:w="1300"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eastAsia="zh-CN"/>
                    </w:rPr>
                    <w:t>固废</w:t>
                  </w:r>
                </w:p>
              </w:tc>
              <w:tc>
                <w:tcPr>
                  <w:tcW w:w="5222"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val="en-US" w:eastAsia="zh-CN"/>
                    </w:rPr>
                    <w:t>运行期设备检修产生的废变压器油、废润滑油集中收集后，</w:t>
                  </w:r>
                  <w:r>
                    <w:rPr>
                      <w:rFonts w:hint="eastAsia" w:cs="Times New Roman"/>
                      <w:b w:val="0"/>
                      <w:bCs w:val="0"/>
                      <w:color w:val="auto"/>
                      <w:lang w:val="en-US" w:eastAsia="zh-CN"/>
                    </w:rPr>
                    <w:t>直接</w:t>
                  </w:r>
                  <w:r>
                    <w:rPr>
                      <w:rFonts w:hint="default" w:ascii="Times New Roman" w:hAnsi="Times New Roman" w:eastAsia="宋体" w:cs="Times New Roman"/>
                      <w:b w:val="0"/>
                      <w:bCs w:val="0"/>
                      <w:color w:val="auto"/>
                      <w:lang w:val="en-US" w:eastAsia="zh-CN"/>
                    </w:rPr>
                    <w:t>交由有资质单位处置。</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01" w:type="dxa"/>
                  <w:vMerge w:val="continue"/>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p>
              </w:tc>
              <w:tc>
                <w:tcPr>
                  <w:tcW w:w="1300"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eastAsia="zh-CN"/>
                    </w:rPr>
                    <w:t>噪声</w:t>
                  </w:r>
                </w:p>
              </w:tc>
              <w:tc>
                <w:tcPr>
                  <w:tcW w:w="5222"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eastAsia="zh-CN"/>
                    </w:rPr>
                  </w:pPr>
                  <w:r>
                    <w:rPr>
                      <w:rFonts w:hint="default" w:ascii="Times New Roman" w:hAnsi="Times New Roman" w:eastAsia="宋体" w:cs="Times New Roman"/>
                      <w:b w:val="0"/>
                      <w:bCs w:val="0"/>
                      <w:color w:val="auto"/>
                      <w:lang w:val="en-US" w:eastAsia="zh-CN"/>
                    </w:rPr>
                    <w:t>设备选型上选择环保高效的低噪声设备，维护设备使其处于良好的运行状态。</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323" w:type="dxa"/>
                  <w:gridSpan w:val="3"/>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合计</w:t>
                  </w:r>
                </w:p>
              </w:tc>
              <w:tc>
                <w:tcPr>
                  <w:tcW w:w="1036" w:type="dxa"/>
                  <w:noWrap w:val="0"/>
                  <w:tcMar>
                    <w:top w:w="0" w:type="dxa"/>
                    <w:left w:w="0" w:type="dxa"/>
                    <w:bottom w:w="0" w:type="dxa"/>
                    <w:right w:w="0" w:type="dxa"/>
                  </w:tcMar>
                  <w:vAlign w:val="center"/>
                </w:tcPr>
                <w:p>
                  <w:pPr>
                    <w:jc w:val="center"/>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1</w:t>
                  </w:r>
                  <w:r>
                    <w:rPr>
                      <w:rFonts w:hint="eastAsia" w:cs="Times New Roman"/>
                      <w:b w:val="0"/>
                      <w:bCs w:val="0"/>
                      <w:color w:val="auto"/>
                      <w:highlight w:val="none"/>
                      <w:lang w:val="en-US" w:eastAsia="zh-CN"/>
                    </w:rPr>
                    <w:t>85</w:t>
                  </w:r>
                  <w:r>
                    <w:rPr>
                      <w:rFonts w:hint="default" w:ascii="Times New Roman" w:hAnsi="Times New Roman" w:eastAsia="宋体" w:cs="Times New Roman"/>
                      <w:b w:val="0"/>
                      <w:bCs w:val="0"/>
                      <w:color w:val="auto"/>
                      <w:highlight w:val="none"/>
                      <w:lang w:val="en-US" w:eastAsia="zh-CN"/>
                    </w:rPr>
                    <w:t>.0</w:t>
                  </w:r>
                </w:p>
              </w:tc>
            </w:tr>
          </w:tbl>
          <w:p>
            <w:pPr>
              <w:pStyle w:val="49"/>
              <w:keepNext w:val="0"/>
              <w:keepLines w:val="0"/>
              <w:pageBreakBefore w:val="0"/>
              <w:widowControl w:val="0"/>
              <w:kinsoku/>
              <w:wordWrap/>
              <w:overflowPunct w:val="0"/>
              <w:topLinePunct w:val="0"/>
              <w:autoSpaceDE/>
              <w:autoSpaceDN/>
              <w:bidi w:val="0"/>
              <w:adjustRightInd w:val="0"/>
              <w:snapToGrid w:val="0"/>
              <w:spacing w:line="312" w:lineRule="auto"/>
              <w:textAlignment w:val="auto"/>
              <w:rPr>
                <w:rFonts w:hint="default" w:ascii="Times New Roman" w:hAnsi="Times New Roman" w:cs="Times New Roman"/>
                <w:color w:val="0000FF"/>
              </w:rPr>
            </w:pPr>
          </w:p>
          <w:p>
            <w:pPr>
              <w:pStyle w:val="49"/>
              <w:keepNext w:val="0"/>
              <w:keepLines w:val="0"/>
              <w:pageBreakBefore w:val="0"/>
              <w:widowControl w:val="0"/>
              <w:kinsoku/>
              <w:wordWrap/>
              <w:overflowPunct w:val="0"/>
              <w:topLinePunct w:val="0"/>
              <w:autoSpaceDE/>
              <w:autoSpaceDN/>
              <w:bidi w:val="0"/>
              <w:adjustRightInd w:val="0"/>
              <w:snapToGrid w:val="0"/>
              <w:spacing w:line="312" w:lineRule="auto"/>
              <w:textAlignment w:val="auto"/>
              <w:rPr>
                <w:rFonts w:hint="default" w:ascii="Times New Roman" w:hAnsi="Times New Roman" w:cs="Times New Roman"/>
                <w:color w:val="0000FF"/>
              </w:rPr>
            </w:pPr>
          </w:p>
          <w:p>
            <w:pPr>
              <w:pStyle w:val="49"/>
              <w:keepNext w:val="0"/>
              <w:keepLines w:val="0"/>
              <w:pageBreakBefore w:val="0"/>
              <w:widowControl w:val="0"/>
              <w:kinsoku/>
              <w:wordWrap/>
              <w:overflowPunct w:val="0"/>
              <w:topLinePunct w:val="0"/>
              <w:autoSpaceDE/>
              <w:autoSpaceDN/>
              <w:bidi w:val="0"/>
              <w:adjustRightInd w:val="0"/>
              <w:snapToGrid w:val="0"/>
              <w:spacing w:line="312" w:lineRule="auto"/>
              <w:textAlignment w:val="auto"/>
              <w:rPr>
                <w:rFonts w:hint="default" w:ascii="Times New Roman" w:hAnsi="Times New Roman" w:cs="Times New Roman"/>
                <w:color w:val="0000FF"/>
                <w:lang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eastAsia" w:cs="Times New Roman"/>
                <w:color w:val="auto"/>
                <w:lang w:val="en-US" w:eastAsia="zh-CN"/>
              </w:rPr>
            </w:pPr>
          </w:p>
          <w:p>
            <w:pPr>
              <w:pStyle w:val="49"/>
              <w:bidi w:val="0"/>
              <w:spacing w:line="240" w:lineRule="auto"/>
              <w:ind w:left="0" w:leftChars="0" w:firstLine="0" w:firstLineChars="0"/>
              <w:rPr>
                <w:rFonts w:hint="default" w:ascii="Times New Roman" w:hAnsi="Times New Roman" w:cs="Times New Roman"/>
                <w:color w:val="auto"/>
                <w:lang w:val="en-US" w:eastAsia="zh-CN"/>
              </w:rPr>
            </w:pPr>
          </w:p>
        </w:tc>
      </w:tr>
    </w:tbl>
    <w:p>
      <w:pP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br w:type="page"/>
      </w:r>
    </w:p>
    <w:p>
      <w:pPr>
        <w:pStyle w:val="7"/>
        <w:rPr>
          <w:rFonts w:hint="default" w:ascii="Times New Roman" w:hAnsi="Times New Roman" w:cs="Times New Roman"/>
          <w:color w:val="auto"/>
          <w:highlight w:val="none"/>
          <w:lang w:eastAsia="zh-CN"/>
        </w:rPr>
        <w:sectPr>
          <w:headerReference r:id="rId10" w:type="default"/>
          <w:footerReference r:id="rId11" w:type="default"/>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pPr>
        <w:pStyle w:val="7"/>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六、生态环境保护措施监督检查清单</w:t>
      </w:r>
    </w:p>
    <w:tbl>
      <w:tblPr>
        <w:tblStyle w:val="28"/>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5"/>
        <w:gridCol w:w="5914"/>
        <w:gridCol w:w="2401"/>
        <w:gridCol w:w="2055"/>
        <w:gridCol w:w="15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559" w:type="pct"/>
            <w:vMerge w:val="restart"/>
            <w:tcBorders>
              <w:tl2br w:val="single" w:color="auto" w:sz="12" w:space="0"/>
            </w:tcBorders>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 xml:space="preserve">  内容</w:t>
            </w:r>
          </w:p>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要素</w:t>
            </w:r>
          </w:p>
        </w:tc>
        <w:tc>
          <w:tcPr>
            <w:tcW w:w="3092" w:type="pct"/>
            <w:gridSpan w:val="2"/>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施工期</w:t>
            </w:r>
          </w:p>
        </w:tc>
        <w:tc>
          <w:tcPr>
            <w:tcW w:w="1347" w:type="pct"/>
            <w:gridSpan w:val="2"/>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运营期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559" w:type="pct"/>
            <w:vMerge w:val="continue"/>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p>
        </w:tc>
        <w:tc>
          <w:tcPr>
            <w:tcW w:w="219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环境保护措施</w:t>
            </w:r>
          </w:p>
        </w:tc>
        <w:tc>
          <w:tcPr>
            <w:tcW w:w="893"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验收要求</w:t>
            </w:r>
          </w:p>
        </w:tc>
        <w:tc>
          <w:tcPr>
            <w:tcW w:w="764"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环境保护措施</w:t>
            </w:r>
          </w:p>
        </w:tc>
        <w:tc>
          <w:tcPr>
            <w:tcW w:w="583"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验收要求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陆生生态</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优化施工布置，合理规划占地，严格控制占地面积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施工车辆、人员必须在作业带内活动，严禁随意扩大扰动范围</w:t>
            </w:r>
            <w:r>
              <w:rPr>
                <w:rFonts w:hint="default" w:ascii="Times New Roman" w:hAnsi="Times New Roman" w:eastAsia="宋体" w:cs="Times New Roman"/>
                <w:color w:val="auto"/>
                <w:sz w:val="24"/>
                <w:szCs w:val="24"/>
                <w:highlight w:val="none"/>
                <w:lang w:eastAsia="zh-CN"/>
              </w:rPr>
              <w:t>。</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lang w:val="en-US" w:eastAsia="zh-CN"/>
              </w:rPr>
              <w:t>开挖土方区植被覆盖的表土剥离并集中储存，进行遮盖，大风天气停止施工；施工结束后，清除工程占地范围内的杂物及各种施工垃圾，将凹地回填平整及翻松，采用施工前剥离的表土撒播耐干旱、多年生草籽进行植被恢复</w:t>
            </w:r>
            <w:r>
              <w:rPr>
                <w:rFonts w:hint="default" w:ascii="Times New Roman" w:hAnsi="Times New Roman" w:eastAsia="宋体" w:cs="Times New Roman"/>
                <w:color w:val="auto"/>
                <w:sz w:val="24"/>
                <w:szCs w:val="24"/>
                <w:highlight w:val="none"/>
                <w:lang w:eastAsia="zh-CN"/>
              </w:rPr>
              <w:t>；</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对施工人员和附近居民加强生态保护的宣传教育，在各施工区设置野生动植物保护警示牌或宣传栏，严禁施工人员非法猎捕野生动物</w:t>
            </w:r>
            <w:r>
              <w:rPr>
                <w:rFonts w:hint="default" w:ascii="Times New Roman" w:hAnsi="Times New Roman" w:eastAsia="宋体" w:cs="Times New Roman"/>
                <w:color w:val="auto"/>
                <w:sz w:val="24"/>
                <w:szCs w:val="24"/>
                <w:highlight w:val="none"/>
                <w:lang w:eastAsia="zh-CN"/>
              </w:rPr>
              <w:t>；</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④加强施工期</w:t>
            </w:r>
            <w:r>
              <w:rPr>
                <w:rFonts w:hint="default" w:ascii="Times New Roman" w:hAnsi="Times New Roman" w:cs="Times New Roman"/>
                <w:color w:val="auto"/>
                <w:sz w:val="24"/>
                <w:szCs w:val="24"/>
                <w:highlight w:val="none"/>
                <w:lang w:eastAsia="zh-CN"/>
              </w:rPr>
              <w:t>管理</w:t>
            </w:r>
            <w:r>
              <w:rPr>
                <w:rFonts w:hint="default" w:ascii="Times New Roman" w:hAnsi="Times New Roman" w:eastAsia="宋体" w:cs="Times New Roman"/>
                <w:color w:val="auto"/>
                <w:sz w:val="24"/>
                <w:szCs w:val="24"/>
                <w:highlight w:val="none"/>
                <w:lang w:eastAsia="zh-CN"/>
              </w:rPr>
              <w:t>工作，保护好沿线两侧其它区域现有的植被。</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在选用先进的施工工艺，选取科学的施工方式的前提下，施工单位加强施工管理，合理</w:t>
            </w:r>
            <w:r>
              <w:rPr>
                <w:rFonts w:hint="default" w:ascii="Times New Roman" w:hAnsi="Times New Roman" w:eastAsia="宋体" w:cs="Times New Roman"/>
                <w:color w:val="auto"/>
                <w:sz w:val="24"/>
                <w:szCs w:val="24"/>
                <w:highlight w:val="none"/>
                <w:lang w:val="en-US" w:eastAsia="zh-CN"/>
              </w:rPr>
              <w:t>规划占地，合理</w:t>
            </w:r>
            <w:r>
              <w:rPr>
                <w:rFonts w:hint="default" w:ascii="Times New Roman" w:hAnsi="Times New Roman" w:eastAsia="宋体" w:cs="Times New Roman"/>
                <w:color w:val="auto"/>
                <w:sz w:val="24"/>
                <w:szCs w:val="24"/>
                <w:highlight w:val="none"/>
                <w:lang w:eastAsia="zh-CN"/>
              </w:rPr>
              <w:t>安排施工时间，对施工过程采取有效的控制及影响减缓措施后，可将项目实施对所在区域生态的影响降至最低程度</w:t>
            </w:r>
            <w:r>
              <w:rPr>
                <w:rFonts w:hint="eastAsia" w:cs="Times New Roman"/>
                <w:color w:val="auto"/>
                <w:sz w:val="24"/>
                <w:szCs w:val="24"/>
                <w:highlight w:val="none"/>
                <w:lang w:eastAsia="zh-CN"/>
              </w:rPr>
              <w:t>。</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rPr>
              <w:t>施工结束后及时恢复植被绿化、水土保持工程措施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开展运营期生态恢复监测。</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rPr>
              <w:t>减少临时占地对生态环境的影响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确保生态环境的恢复。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水生生态</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地表水环境</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施工区应设置沉淀池，施工废水沉淀后回用，不外排。施工期洗漱废水用于施工场地洒水降尘，施工期建设环保型旱厕供施工人员如厕，定期清运</w:t>
            </w:r>
            <w:r>
              <w:rPr>
                <w:rFonts w:hint="eastAsia" w:cs="Times New Roman"/>
                <w:color w:val="auto"/>
                <w:sz w:val="24"/>
                <w:szCs w:val="24"/>
                <w:highlight w:val="none"/>
                <w:lang w:val="en-US" w:eastAsia="zh-CN"/>
              </w:rPr>
              <w:t>。</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废水不外排，不对地表水环境造成影响。</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地下水及土壤环境</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声环境</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①施工前，对所使用机械设备进行了保养，施工过程中有专人维护。加强施工管理，合理安排施工作业时间。</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②降低施工设备噪声；采用安装排气筒消音器和隔离发动机振动部件的方法降低噪声；对动力机械、设备加强定期检修、养护。</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③降低人为噪声；合理安排施工人员轮流操作噪声较高的施工机械，减少工人接触高噪音的时间，同时注意保养施工机械，使其维持其最低声级水平。控制汽车鸣笛。</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④施工运输车辆在通过村庄时，应减缓车速，并禁止鸣笛。</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FF"/>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⑤施工单位应加强宣传，充分做好与当地居民的沟通工作，尽量减少对敏感点居民的影响。</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《建筑施工场界环境噪声排放标准》 （GB12523-2011）</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kern w:val="16"/>
                <w:sz w:val="24"/>
                <w:szCs w:val="24"/>
                <w:highlight w:val="none"/>
                <w:lang w:val="en-US" w:eastAsia="zh-CN" w:bidi="ar-SA"/>
              </w:rPr>
            </w:pPr>
            <w:r>
              <w:rPr>
                <w:rFonts w:hint="eastAsia" w:cs="Times New Roman"/>
                <w:color w:val="auto"/>
                <w:kern w:val="16"/>
                <w:sz w:val="24"/>
                <w:szCs w:val="24"/>
                <w:highlight w:val="none"/>
                <w:lang w:val="en-US" w:eastAsia="zh-CN" w:bidi="ar-SA"/>
              </w:rPr>
              <w:t>风机及变压器运行产生噪声，采用低噪声设备，维护设备使其处于良好的运行状态。</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《工业企业厂界环境噪声排放标准》（GB12348-2008） 中的2类标准要求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振动</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大气环境</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①根据施工过程的实际情况，施工现场设围栏，以减少施工扬尘扩散范围。</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②避免在大风日以及夏季暴雨时节施工，减少地表裸露的时间，遇有大风天气时，避免进行挖掘、回填等大土方量作业或采取洒水抑尘措施。</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③施工单位必须加强施工区的规划管理；</w:t>
            </w:r>
            <w:r>
              <w:rPr>
                <w:rFonts w:hint="default" w:ascii="Times New Roman" w:hAnsi="Times New Roman" w:eastAsia="宋体" w:cs="Times New Roman"/>
                <w:color w:val="auto"/>
                <w:sz w:val="24"/>
                <w:szCs w:val="24"/>
                <w:highlight w:val="none"/>
                <w:lang w:eastAsia="zh-CN"/>
              </w:rPr>
              <w:t>每个施工区配备洒水车，</w:t>
            </w:r>
            <w:r>
              <w:rPr>
                <w:rFonts w:hint="default" w:ascii="Times New Roman" w:hAnsi="Times New Roman" w:eastAsia="宋体" w:cs="Times New Roman"/>
                <w:color w:val="auto"/>
                <w:sz w:val="24"/>
                <w:szCs w:val="24"/>
                <w:highlight w:val="none"/>
                <w:lang w:val="en-US" w:eastAsia="zh-CN"/>
              </w:rPr>
              <w:t>建筑材料的堆放应定点定位，并采取防尘、抑尘措施。</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④用汽车运输易起尘的物料时，要加盖蓬布、控制车速，防止物料洒落和产生扬尘；卸车时应尽量减少落差，减少扬尘；运输车辆进出的主干道应定期洒水清扫，保持车辆出入口路面清洁、润湿，并尽量要求运输车辆放慢行车速度，以减少地面扬尘污染。</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lang w:eastAsia="zh-CN"/>
              </w:rPr>
              <w:t>各施工区应设置洗车平台，完善排水设施，防止泥土粘带。施工期间，应在物料、渣土运输车辆的出口内侧设置洗车平台，车辆驶离工地前，应在洗车平台清洗轮胎及车身，不得带泥上路。</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⑥加强对施工机械、车辆的维修保养，禁止以柴油为燃料的施工机械超负荷工作，减少烟尘和颗粒物的排放。</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lang w:eastAsia="zh-CN"/>
              </w:rPr>
              <w:t>易产生扬尘的土料堆积过程中，堆积边坡的角度不宜过大，散装水泥应尽可能避免露天堆放，及时苫盖并设置围挡。</w:t>
            </w:r>
          </w:p>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⑧汽车进入施工区内应限速行驶；恶劣天气时，应停止作业；弃土过程，应严格按照摊铺、碾压程序施</w:t>
            </w: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工，严禁未经碾压直接摊铺新土层；定期对施工便道进行洒水降尘；剥离的表土应采取苫盖等防起尘措施。</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《大气污染物综合排放标准》（GB 16297-1996）</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固体废物</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不可用于回填部分作为弃土统一堆放处理；施工期固体弃物主要是生活垃圾、建筑垃圾。生活垃圾收集后定期送至市政部门规定地点拉运处置；建筑垃圾回用于场内检修道路的修筑，不能回用的，送指定的垃圾填埋场处置。</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施工期结束后不得在施工现场遗留建筑垃圾、生活垃圾。</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运行期设备检修产生的废变压器油、废润滑油集中收集后，</w:t>
            </w:r>
            <w:r>
              <w:rPr>
                <w:rFonts w:hint="eastAsia" w:cs="Times New Roman"/>
                <w:color w:val="auto"/>
                <w:sz w:val="24"/>
                <w:szCs w:val="24"/>
                <w:highlight w:val="none"/>
                <w:lang w:val="en-US" w:eastAsia="zh-CN"/>
              </w:rPr>
              <w:t>直接</w:t>
            </w:r>
            <w:r>
              <w:rPr>
                <w:rFonts w:hint="default" w:ascii="Times New Roman" w:hAnsi="Times New Roman" w:eastAsia="宋体" w:cs="Times New Roman"/>
                <w:color w:val="auto"/>
                <w:sz w:val="24"/>
                <w:szCs w:val="24"/>
                <w:highlight w:val="none"/>
                <w:lang w:val="en-US" w:eastAsia="zh-CN"/>
              </w:rPr>
              <w:t>交由有资质单位处置</w:t>
            </w:r>
            <w:r>
              <w:rPr>
                <w:rFonts w:hint="eastAsia" w:cs="Times New Roman"/>
                <w:color w:val="auto"/>
                <w:sz w:val="24"/>
                <w:szCs w:val="24"/>
                <w:highlight w:val="none"/>
                <w:lang w:val="en-US" w:eastAsia="zh-CN"/>
              </w:rPr>
              <w:t>。</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电磁环境</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环境风险</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764"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583" w:type="pct"/>
            <w:vAlign w:val="center"/>
          </w:tcPr>
          <w:p>
            <w:pPr>
              <w:pStyle w:val="40"/>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环境监测</w:t>
            </w:r>
          </w:p>
        </w:tc>
        <w:tc>
          <w:tcPr>
            <w:tcW w:w="2199"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893" w:type="pct"/>
            <w:vAlign w:val="center"/>
          </w:tcPr>
          <w:p>
            <w:pPr>
              <w:pStyle w:val="40"/>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764" w:type="pct"/>
            <w:vAlign w:val="center"/>
          </w:tcPr>
          <w:p>
            <w:pPr>
              <w:adjustRightInd w:val="0"/>
              <w:snapToGrid w:val="0"/>
              <w:jc w:val="center"/>
              <w:rPr>
                <w:rFonts w:hint="default" w:ascii="Times New Roman" w:hAnsi="Times New Roman" w:eastAsia="宋体" w:cs="Times New Roman"/>
                <w:color w:val="auto"/>
                <w:kern w:val="16"/>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定期对生态环境进行监测，确保生态恢复措施达到预期效果</w:t>
            </w:r>
            <w:r>
              <w:rPr>
                <w:rFonts w:hint="eastAsia" w:cs="Times New Roman"/>
                <w:color w:val="auto"/>
                <w:kern w:val="2"/>
                <w:sz w:val="24"/>
                <w:szCs w:val="24"/>
                <w:highlight w:val="none"/>
                <w:lang w:val="en-US" w:eastAsia="zh-CN" w:bidi="ar-SA"/>
              </w:rPr>
              <w:t>。</w:t>
            </w:r>
          </w:p>
        </w:tc>
        <w:tc>
          <w:tcPr>
            <w:tcW w:w="583" w:type="pct"/>
            <w:vAlign w:val="center"/>
          </w:tcPr>
          <w:p>
            <w:pPr>
              <w:adjustRightInd w:val="0"/>
              <w:snapToGrid w:val="0"/>
              <w:jc w:val="center"/>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kern w:val="16"/>
                <w:sz w:val="24"/>
                <w:szCs w:val="24"/>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59" w:type="pct"/>
            <w:vAlign w:val="center"/>
          </w:tcPr>
          <w:p>
            <w:pPr>
              <w:pStyle w:val="49"/>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其他</w:t>
            </w:r>
          </w:p>
        </w:tc>
        <w:tc>
          <w:tcPr>
            <w:tcW w:w="2199" w:type="pct"/>
            <w:vAlign w:val="center"/>
          </w:tcPr>
          <w:p>
            <w:pPr>
              <w:pStyle w:val="40"/>
              <w:bidi w:val="0"/>
              <w:ind w:left="0" w:leftChars="0" w:firstLine="0" w:firstLineChars="0"/>
              <w:jc w:val="center"/>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893" w:type="pct"/>
            <w:vAlign w:val="center"/>
          </w:tcPr>
          <w:p>
            <w:pPr>
              <w:pStyle w:val="40"/>
              <w:bidi w:val="0"/>
              <w:ind w:left="0" w:leftChars="0" w:firstLine="0" w:firstLineChars="0"/>
              <w:jc w:val="center"/>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764" w:type="pct"/>
            <w:vAlign w:val="center"/>
          </w:tcPr>
          <w:p>
            <w:pPr>
              <w:pStyle w:val="40"/>
              <w:bidi w:val="0"/>
              <w:ind w:left="0" w:leftChars="0" w:firstLine="0" w:firstLineChars="0"/>
              <w:jc w:val="center"/>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c>
          <w:tcPr>
            <w:tcW w:w="583" w:type="pct"/>
            <w:vAlign w:val="center"/>
          </w:tcPr>
          <w:p>
            <w:pPr>
              <w:pStyle w:val="40"/>
              <w:bidi w:val="0"/>
              <w:ind w:left="0" w:leftChars="0" w:firstLine="0" w:firstLineChars="0"/>
              <w:jc w:val="center"/>
              <w:rPr>
                <w:rFonts w:hint="default" w:ascii="Times New Roman" w:hAnsi="Times New Roman" w:eastAsia="宋体" w:cs="Times New Roman"/>
                <w:color w:val="auto"/>
                <w:kern w:val="16"/>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w:t>
            </w:r>
          </w:p>
        </w:tc>
      </w:tr>
    </w:tbl>
    <w:p>
      <w:pPr>
        <w:rPr>
          <w:rFonts w:hint="default" w:ascii="Times New Roman" w:hAnsi="Times New Roman" w:eastAsia="黑体" w:cs="Times New Roman"/>
          <w:b/>
          <w:color w:val="auto"/>
          <w:sz w:val="28"/>
          <w:highlight w:val="none"/>
        </w:rPr>
        <w:sectPr>
          <w:pgSz w:w="16838" w:h="11905" w:orient="landscape"/>
          <w:pgMar w:top="1440" w:right="1803" w:bottom="1440" w:left="1803" w:header="1247" w:footer="1247" w:gutter="0"/>
          <w:pgBorders>
            <w:top w:val="none" w:sz="0" w:space="0"/>
            <w:left w:val="none" w:sz="0" w:space="0"/>
            <w:bottom w:val="none" w:sz="0" w:space="0"/>
            <w:right w:val="none" w:sz="0" w:space="0"/>
          </w:pgBorders>
          <w:pgNumType w:fmt="decimal"/>
          <w:cols w:space="0" w:num="1"/>
          <w:rtlGutter w:val="0"/>
          <w:docGrid w:linePitch="312" w:charSpace="0"/>
        </w:sectPr>
      </w:pPr>
    </w:p>
    <w:p>
      <w:pPr>
        <w:pStyle w:val="7"/>
        <w:rPr>
          <w:rFonts w:hint="default" w:ascii="Times New Roman" w:hAnsi="Times New Roman" w:cs="Times New Roman"/>
          <w:color w:val="auto"/>
          <w:highlight w:val="none"/>
        </w:rPr>
      </w:pPr>
      <w:bookmarkStart w:id="10" w:name="_Toc513537176"/>
      <w:r>
        <w:rPr>
          <w:rFonts w:hint="default" w:ascii="Times New Roman" w:hAnsi="Times New Roman" w:cs="Times New Roman"/>
          <w:color w:val="auto"/>
          <w:highlight w:val="none"/>
          <w:lang w:eastAsia="zh-CN"/>
        </w:rPr>
        <w:t>七、结论</w:t>
      </w:r>
      <w:bookmarkEnd w:id="10"/>
    </w:p>
    <w:tbl>
      <w:tblPr>
        <w:tblStyle w:val="29"/>
        <w:tblW w:w="9354"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71" w:hRule="atLeast"/>
          <w:jc w:val="center"/>
        </w:trPr>
        <w:tc>
          <w:tcPr>
            <w:tcW w:w="9287" w:type="dxa"/>
            <w:tcBorders>
              <w:tl2br w:val="nil"/>
              <w:tr2bl w:val="nil"/>
            </w:tcBorders>
            <w:vAlign w:val="top"/>
          </w:tcPr>
          <w:p>
            <w:pPr>
              <w:pStyle w:val="49"/>
              <w:keepNext w:val="0"/>
              <w:keepLines w:val="0"/>
              <w:pageBreakBefore w:val="0"/>
              <w:widowControl w:val="0"/>
              <w:kinsoku/>
              <w:wordWrap/>
              <w:overflowPunct w:val="0"/>
              <w:topLinePunct w:val="0"/>
              <w:autoSpaceDE/>
              <w:autoSpaceDN/>
              <w:bidi w:val="0"/>
              <w:adjustRightInd w:val="0"/>
              <w:snapToGrid w:val="0"/>
              <w:spacing w:before="171" w:beforeLines="5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从环境保护角度分析，本</w:t>
            </w:r>
            <w:r>
              <w:rPr>
                <w:rFonts w:hint="eastAsia" w:cs="Times New Roman"/>
                <w:color w:val="auto"/>
                <w:lang w:val="en-US" w:eastAsia="zh-CN"/>
              </w:rPr>
              <w:t>项目</w:t>
            </w:r>
            <w:r>
              <w:rPr>
                <w:rFonts w:hint="default" w:ascii="Times New Roman" w:hAnsi="Times New Roman" w:cs="Times New Roman"/>
                <w:color w:val="auto"/>
                <w:lang w:val="en-US" w:eastAsia="zh-CN"/>
              </w:rPr>
              <w:t>建设</w:t>
            </w:r>
            <w:r>
              <w:rPr>
                <w:rFonts w:hint="eastAsia" w:cs="Times New Roman"/>
                <w:color w:val="auto"/>
                <w:lang w:val="en-US" w:eastAsia="zh-CN"/>
              </w:rPr>
              <w:t>环境影响</w:t>
            </w:r>
            <w:r>
              <w:rPr>
                <w:rFonts w:hint="default" w:ascii="Times New Roman" w:hAnsi="Times New Roman" w:cs="Times New Roman"/>
                <w:color w:val="auto"/>
                <w:lang w:val="en-US" w:eastAsia="zh-CN"/>
              </w:rPr>
              <w:t>可行。</w:t>
            </w:r>
          </w:p>
          <w:p>
            <w:pPr>
              <w:pStyle w:val="49"/>
              <w:bidi w:val="0"/>
              <w:rPr>
                <w:rFonts w:hint="default" w:ascii="Times New Roman" w:hAnsi="Times New Roman" w:cs="Times New Roman"/>
                <w:color w:val="auto"/>
                <w:lang w:val="en-US" w:eastAsia="zh-CN"/>
              </w:rPr>
            </w:pPr>
          </w:p>
          <w:p>
            <w:pPr>
              <w:pStyle w:val="49"/>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r>
              <w:rPr>
                <w:rFonts w:hint="eastAsia" w:cs="Times New Roman"/>
                <w:color w:val="auto"/>
                <w:lang w:val="en-US" w:eastAsia="zh-CN"/>
              </w:rPr>
              <w:t xml:space="preserve">  </w:t>
            </w: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48"/>
              <w:bidi w:val="0"/>
              <w:rPr>
                <w:rFonts w:hint="default" w:ascii="Times New Roman" w:hAnsi="Times New Roman" w:cs="Times New Roman"/>
                <w:color w:val="auto"/>
                <w:lang w:val="en-US" w:eastAsia="zh-CN"/>
              </w:rPr>
            </w:pPr>
          </w:p>
          <w:p>
            <w:pPr>
              <w:pStyle w:val="20"/>
              <w:rPr>
                <w:rFonts w:hint="default" w:ascii="Times New Roman" w:hAnsi="Times New Roman" w:cs="Times New Roman"/>
                <w:color w:val="auto"/>
              </w:rPr>
            </w:pPr>
          </w:p>
        </w:tc>
      </w:tr>
    </w:tbl>
    <w:p>
      <w:pPr>
        <w:pStyle w:val="42"/>
        <w:ind w:left="0" w:leftChars="0" w:firstLine="0" w:firstLineChars="0"/>
        <w:rPr>
          <w:rFonts w:hint="default" w:ascii="Times New Roman" w:hAnsi="Times New Roman" w:cs="Times New Roman"/>
          <w:color w:val="auto"/>
          <w:lang w:val="en-US" w:eastAsia="zh-CN"/>
        </w:rPr>
      </w:pPr>
    </w:p>
    <w:sectPr>
      <w:headerReference r:id="rId12" w:type="default"/>
      <w:footerReference r:id="rId13" w:type="default"/>
      <w:pgSz w:w="11905" w:h="16838"/>
      <w:pgMar w:top="1803" w:right="1440" w:bottom="1803" w:left="1440" w:header="1247" w:footer="1247" w:gutter="0"/>
      <w:pgBorders>
        <w:top w:val="none" w:sz="0" w:space="0"/>
        <w:left w:val="none" w:sz="0" w:space="0"/>
        <w:bottom w:val="none" w:sz="0" w:space="0"/>
        <w:right w:val="none" w:sz="0" w:space="0"/>
      </w:pgBorders>
      <w:pgNumType w:fmt="decimal"/>
      <w:cols w:space="0" w:num="1"/>
      <w:rtlGutter w:val="0"/>
      <w:docGrid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left w:val="none" w:color="auto" w:sz="0" w:space="4"/>
        <w:bottom w:val="none" w:color="auto" w:sz="0" w:space="1"/>
        <w:right w:val="none" w:color="auto" w:sz="0" w:space="4"/>
      </w:pBd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r>
      <w:rPr>
        <w:rFonts w:hint="eastAsia"/>
        <w:lang w:val="en-US" w:eastAsia="zh-CN"/>
      </w:rPr>
      <w:t xml:space="preserve">                                   </w:t>
    </w:r>
    <w:r>
      <w:rPr>
        <w:rStyle w:val="32"/>
        <w:rFonts w:hint="eastAsia"/>
        <w:b/>
        <w:i/>
      </w:rPr>
      <w:t xml:space="preserve">众旺达（宁夏）技术咨询有限公司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80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80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502C5"/>
    <w:multiLevelType w:val="singleLevel"/>
    <w:tmpl w:val="C2E502C5"/>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GM4YTRiMTI3MGRmYWUxMjNhNWFiODBlZDYwZmQifQ=="/>
  </w:docVars>
  <w:rsids>
    <w:rsidRoot w:val="00172A27"/>
    <w:rsid w:val="00005402"/>
    <w:rsid w:val="000A002F"/>
    <w:rsid w:val="000E5D71"/>
    <w:rsid w:val="0011157B"/>
    <w:rsid w:val="00114E2A"/>
    <w:rsid w:val="001A4DE8"/>
    <w:rsid w:val="001D4FE5"/>
    <w:rsid w:val="00207D7F"/>
    <w:rsid w:val="002235CA"/>
    <w:rsid w:val="002C1819"/>
    <w:rsid w:val="002C383C"/>
    <w:rsid w:val="002E1F6F"/>
    <w:rsid w:val="00330D26"/>
    <w:rsid w:val="00364667"/>
    <w:rsid w:val="00382DEE"/>
    <w:rsid w:val="003C7C35"/>
    <w:rsid w:val="003E6974"/>
    <w:rsid w:val="00441793"/>
    <w:rsid w:val="00443541"/>
    <w:rsid w:val="004B2C7B"/>
    <w:rsid w:val="004E43BF"/>
    <w:rsid w:val="0050638A"/>
    <w:rsid w:val="005A7801"/>
    <w:rsid w:val="006154D3"/>
    <w:rsid w:val="00661709"/>
    <w:rsid w:val="0069744B"/>
    <w:rsid w:val="006A2456"/>
    <w:rsid w:val="006E4A62"/>
    <w:rsid w:val="00761D56"/>
    <w:rsid w:val="00795A2D"/>
    <w:rsid w:val="007B5E5A"/>
    <w:rsid w:val="007E4CA5"/>
    <w:rsid w:val="00813BDB"/>
    <w:rsid w:val="0090270C"/>
    <w:rsid w:val="0094210E"/>
    <w:rsid w:val="00A10993"/>
    <w:rsid w:val="00A31832"/>
    <w:rsid w:val="00A526BB"/>
    <w:rsid w:val="00B16BA8"/>
    <w:rsid w:val="00B9263C"/>
    <w:rsid w:val="00BA08B9"/>
    <w:rsid w:val="00BA7CA7"/>
    <w:rsid w:val="00BE1545"/>
    <w:rsid w:val="00C603FA"/>
    <w:rsid w:val="00D01C9D"/>
    <w:rsid w:val="00D323A0"/>
    <w:rsid w:val="00DD5592"/>
    <w:rsid w:val="00DE4B50"/>
    <w:rsid w:val="00EC0286"/>
    <w:rsid w:val="00EF2344"/>
    <w:rsid w:val="00F1191B"/>
    <w:rsid w:val="00F211EF"/>
    <w:rsid w:val="00F61C24"/>
    <w:rsid w:val="00F932C9"/>
    <w:rsid w:val="01057174"/>
    <w:rsid w:val="010A6538"/>
    <w:rsid w:val="011253ED"/>
    <w:rsid w:val="01132720"/>
    <w:rsid w:val="011534AB"/>
    <w:rsid w:val="0118309B"/>
    <w:rsid w:val="01283BE8"/>
    <w:rsid w:val="01287748"/>
    <w:rsid w:val="01316C40"/>
    <w:rsid w:val="01341DE3"/>
    <w:rsid w:val="01396E1E"/>
    <w:rsid w:val="013A1A54"/>
    <w:rsid w:val="01407DFE"/>
    <w:rsid w:val="01415CD2"/>
    <w:rsid w:val="014514A3"/>
    <w:rsid w:val="01536744"/>
    <w:rsid w:val="01542D3D"/>
    <w:rsid w:val="015B6D94"/>
    <w:rsid w:val="01623198"/>
    <w:rsid w:val="01675739"/>
    <w:rsid w:val="0168325F"/>
    <w:rsid w:val="016C71F3"/>
    <w:rsid w:val="0170579C"/>
    <w:rsid w:val="017240DE"/>
    <w:rsid w:val="017B2F92"/>
    <w:rsid w:val="017F5714"/>
    <w:rsid w:val="017F5A80"/>
    <w:rsid w:val="0187402D"/>
    <w:rsid w:val="01877B89"/>
    <w:rsid w:val="018A58CB"/>
    <w:rsid w:val="019404F8"/>
    <w:rsid w:val="019C2519"/>
    <w:rsid w:val="01A249C3"/>
    <w:rsid w:val="01AA4475"/>
    <w:rsid w:val="01AA7D1B"/>
    <w:rsid w:val="01B1654F"/>
    <w:rsid w:val="01B6046E"/>
    <w:rsid w:val="01C205FE"/>
    <w:rsid w:val="01C20BC1"/>
    <w:rsid w:val="01C25065"/>
    <w:rsid w:val="01C54B55"/>
    <w:rsid w:val="01C95043"/>
    <w:rsid w:val="01CA3F1A"/>
    <w:rsid w:val="01CE57B8"/>
    <w:rsid w:val="01D1354E"/>
    <w:rsid w:val="01D6466C"/>
    <w:rsid w:val="01DD5537"/>
    <w:rsid w:val="01E16E78"/>
    <w:rsid w:val="01E21263"/>
    <w:rsid w:val="01E376AC"/>
    <w:rsid w:val="01E46073"/>
    <w:rsid w:val="01E51B2E"/>
    <w:rsid w:val="01F01F8D"/>
    <w:rsid w:val="01F40E8A"/>
    <w:rsid w:val="01F64D0F"/>
    <w:rsid w:val="01FD42EF"/>
    <w:rsid w:val="020016E9"/>
    <w:rsid w:val="02005B8D"/>
    <w:rsid w:val="02013399"/>
    <w:rsid w:val="02013A6F"/>
    <w:rsid w:val="02021905"/>
    <w:rsid w:val="020C396B"/>
    <w:rsid w:val="020E71AE"/>
    <w:rsid w:val="02153FF2"/>
    <w:rsid w:val="02183119"/>
    <w:rsid w:val="021F7DC1"/>
    <w:rsid w:val="02223D56"/>
    <w:rsid w:val="022A6766"/>
    <w:rsid w:val="02310126"/>
    <w:rsid w:val="023A582E"/>
    <w:rsid w:val="023C4E17"/>
    <w:rsid w:val="02447828"/>
    <w:rsid w:val="02515359"/>
    <w:rsid w:val="02535CBD"/>
    <w:rsid w:val="0255244C"/>
    <w:rsid w:val="025722C7"/>
    <w:rsid w:val="02581365"/>
    <w:rsid w:val="025D08EA"/>
    <w:rsid w:val="02624152"/>
    <w:rsid w:val="02661E94"/>
    <w:rsid w:val="02664D53"/>
    <w:rsid w:val="02761592"/>
    <w:rsid w:val="027619AC"/>
    <w:rsid w:val="027F2F56"/>
    <w:rsid w:val="02867E41"/>
    <w:rsid w:val="02906F11"/>
    <w:rsid w:val="029702A0"/>
    <w:rsid w:val="02974AD8"/>
    <w:rsid w:val="029B0DDF"/>
    <w:rsid w:val="02A53FFE"/>
    <w:rsid w:val="02AE622E"/>
    <w:rsid w:val="02BD239A"/>
    <w:rsid w:val="02C32E43"/>
    <w:rsid w:val="02C447F9"/>
    <w:rsid w:val="02C646E1"/>
    <w:rsid w:val="02C92423"/>
    <w:rsid w:val="02CB619B"/>
    <w:rsid w:val="02CC7BBA"/>
    <w:rsid w:val="02D0730E"/>
    <w:rsid w:val="02D23086"/>
    <w:rsid w:val="02D87994"/>
    <w:rsid w:val="02DB5E00"/>
    <w:rsid w:val="02E1776D"/>
    <w:rsid w:val="02E23A9C"/>
    <w:rsid w:val="02E44052"/>
    <w:rsid w:val="02EA7AB7"/>
    <w:rsid w:val="02F72AEC"/>
    <w:rsid w:val="02F91D73"/>
    <w:rsid w:val="02F92D08"/>
    <w:rsid w:val="02F96864"/>
    <w:rsid w:val="0303235D"/>
    <w:rsid w:val="030A6CC4"/>
    <w:rsid w:val="030D40BE"/>
    <w:rsid w:val="03241F4C"/>
    <w:rsid w:val="03262948"/>
    <w:rsid w:val="03324729"/>
    <w:rsid w:val="033479E0"/>
    <w:rsid w:val="033B547E"/>
    <w:rsid w:val="033C2BF5"/>
    <w:rsid w:val="033E4BBF"/>
    <w:rsid w:val="03411FB9"/>
    <w:rsid w:val="034B11BF"/>
    <w:rsid w:val="034D4E02"/>
    <w:rsid w:val="034E5A78"/>
    <w:rsid w:val="03500E46"/>
    <w:rsid w:val="035F21B1"/>
    <w:rsid w:val="03681C3C"/>
    <w:rsid w:val="0368458E"/>
    <w:rsid w:val="036C66E1"/>
    <w:rsid w:val="036D2DAF"/>
    <w:rsid w:val="03726617"/>
    <w:rsid w:val="037C672A"/>
    <w:rsid w:val="038500F8"/>
    <w:rsid w:val="03864EFF"/>
    <w:rsid w:val="038D16A3"/>
    <w:rsid w:val="03906A9D"/>
    <w:rsid w:val="03912F41"/>
    <w:rsid w:val="03977E2B"/>
    <w:rsid w:val="03990047"/>
    <w:rsid w:val="03A8028B"/>
    <w:rsid w:val="03A85C19"/>
    <w:rsid w:val="03AF5994"/>
    <w:rsid w:val="03AF786B"/>
    <w:rsid w:val="03B409DD"/>
    <w:rsid w:val="03C86237"/>
    <w:rsid w:val="03CC06C2"/>
    <w:rsid w:val="03D814FB"/>
    <w:rsid w:val="03D8291E"/>
    <w:rsid w:val="03DF17D9"/>
    <w:rsid w:val="03E5328D"/>
    <w:rsid w:val="03ED7188"/>
    <w:rsid w:val="03EF781B"/>
    <w:rsid w:val="03F014FB"/>
    <w:rsid w:val="03F44718"/>
    <w:rsid w:val="040A2CF3"/>
    <w:rsid w:val="0414147C"/>
    <w:rsid w:val="041D6583"/>
    <w:rsid w:val="042B2878"/>
    <w:rsid w:val="042D7EDC"/>
    <w:rsid w:val="042E64B6"/>
    <w:rsid w:val="042F4508"/>
    <w:rsid w:val="043372F3"/>
    <w:rsid w:val="04455AD9"/>
    <w:rsid w:val="044E2BE0"/>
    <w:rsid w:val="04506958"/>
    <w:rsid w:val="04526EE6"/>
    <w:rsid w:val="045954B6"/>
    <w:rsid w:val="045D4EAD"/>
    <w:rsid w:val="045E2334"/>
    <w:rsid w:val="04620439"/>
    <w:rsid w:val="046B64CF"/>
    <w:rsid w:val="047168CE"/>
    <w:rsid w:val="04733276"/>
    <w:rsid w:val="0473553C"/>
    <w:rsid w:val="047C599F"/>
    <w:rsid w:val="047F2D99"/>
    <w:rsid w:val="04825AB3"/>
    <w:rsid w:val="04855289"/>
    <w:rsid w:val="04904FA7"/>
    <w:rsid w:val="04983022"/>
    <w:rsid w:val="04983E5B"/>
    <w:rsid w:val="04AB0032"/>
    <w:rsid w:val="04B05649"/>
    <w:rsid w:val="04B30C95"/>
    <w:rsid w:val="04B43E48"/>
    <w:rsid w:val="04B844FD"/>
    <w:rsid w:val="04B9495B"/>
    <w:rsid w:val="04BD6A50"/>
    <w:rsid w:val="04C335CE"/>
    <w:rsid w:val="04C80BE4"/>
    <w:rsid w:val="04CB5FDF"/>
    <w:rsid w:val="04CC1D57"/>
    <w:rsid w:val="04D550AF"/>
    <w:rsid w:val="04D8613B"/>
    <w:rsid w:val="04DA26C6"/>
    <w:rsid w:val="04DF5F2E"/>
    <w:rsid w:val="04E14AB9"/>
    <w:rsid w:val="04E15802"/>
    <w:rsid w:val="04E868C1"/>
    <w:rsid w:val="04F1535D"/>
    <w:rsid w:val="04F512AE"/>
    <w:rsid w:val="04F5472C"/>
    <w:rsid w:val="04F80B8D"/>
    <w:rsid w:val="04FC088E"/>
    <w:rsid w:val="05046312"/>
    <w:rsid w:val="05074D82"/>
    <w:rsid w:val="050B287F"/>
    <w:rsid w:val="050F6813"/>
    <w:rsid w:val="05183DDF"/>
    <w:rsid w:val="051A035F"/>
    <w:rsid w:val="051F2984"/>
    <w:rsid w:val="05243941"/>
    <w:rsid w:val="052676B9"/>
    <w:rsid w:val="052A1BD0"/>
    <w:rsid w:val="052F2A11"/>
    <w:rsid w:val="053668F8"/>
    <w:rsid w:val="053830FA"/>
    <w:rsid w:val="053A4F12"/>
    <w:rsid w:val="053E4A03"/>
    <w:rsid w:val="0541414F"/>
    <w:rsid w:val="054D3ADB"/>
    <w:rsid w:val="05541611"/>
    <w:rsid w:val="05544226"/>
    <w:rsid w:val="055B06EB"/>
    <w:rsid w:val="055B42DF"/>
    <w:rsid w:val="056A49EE"/>
    <w:rsid w:val="056A5EC4"/>
    <w:rsid w:val="056B51D5"/>
    <w:rsid w:val="05785D0C"/>
    <w:rsid w:val="05793C8D"/>
    <w:rsid w:val="05854B8E"/>
    <w:rsid w:val="058B39C0"/>
    <w:rsid w:val="059038F7"/>
    <w:rsid w:val="0595565C"/>
    <w:rsid w:val="05964C1A"/>
    <w:rsid w:val="05967AD2"/>
    <w:rsid w:val="05972365"/>
    <w:rsid w:val="05972BB7"/>
    <w:rsid w:val="05990487"/>
    <w:rsid w:val="059B00A7"/>
    <w:rsid w:val="05A23FE4"/>
    <w:rsid w:val="05A30D9B"/>
    <w:rsid w:val="05A32D8D"/>
    <w:rsid w:val="05A351AD"/>
    <w:rsid w:val="05A827C4"/>
    <w:rsid w:val="05AD556A"/>
    <w:rsid w:val="05B63617"/>
    <w:rsid w:val="05B819DC"/>
    <w:rsid w:val="05BB1A2C"/>
    <w:rsid w:val="05BE6B16"/>
    <w:rsid w:val="05C0515E"/>
    <w:rsid w:val="05C80770"/>
    <w:rsid w:val="05DC421B"/>
    <w:rsid w:val="05E10B83"/>
    <w:rsid w:val="05E82BC0"/>
    <w:rsid w:val="05EA057C"/>
    <w:rsid w:val="05EA4B8A"/>
    <w:rsid w:val="05EB2F41"/>
    <w:rsid w:val="05EC445F"/>
    <w:rsid w:val="05ED287B"/>
    <w:rsid w:val="05F61781"/>
    <w:rsid w:val="05F6352F"/>
    <w:rsid w:val="05FC53C3"/>
    <w:rsid w:val="06063852"/>
    <w:rsid w:val="0609596A"/>
    <w:rsid w:val="060C045C"/>
    <w:rsid w:val="060C3E7B"/>
    <w:rsid w:val="061858B5"/>
    <w:rsid w:val="06344057"/>
    <w:rsid w:val="063663D5"/>
    <w:rsid w:val="063A1DEA"/>
    <w:rsid w:val="064B2CB0"/>
    <w:rsid w:val="06510766"/>
    <w:rsid w:val="06523C1F"/>
    <w:rsid w:val="065B15E4"/>
    <w:rsid w:val="065B3392"/>
    <w:rsid w:val="06615ED8"/>
    <w:rsid w:val="0662512B"/>
    <w:rsid w:val="066C559F"/>
    <w:rsid w:val="066F0F20"/>
    <w:rsid w:val="067B3A34"/>
    <w:rsid w:val="0680104B"/>
    <w:rsid w:val="068428E9"/>
    <w:rsid w:val="0697456F"/>
    <w:rsid w:val="069B7C33"/>
    <w:rsid w:val="06A72333"/>
    <w:rsid w:val="06AD2B52"/>
    <w:rsid w:val="06B2784E"/>
    <w:rsid w:val="06C07699"/>
    <w:rsid w:val="06C47189"/>
    <w:rsid w:val="06CD2C9A"/>
    <w:rsid w:val="06D73361"/>
    <w:rsid w:val="06DD2008"/>
    <w:rsid w:val="06E24753"/>
    <w:rsid w:val="06E67100"/>
    <w:rsid w:val="06E94E42"/>
    <w:rsid w:val="06EA1B0A"/>
    <w:rsid w:val="06F130E3"/>
    <w:rsid w:val="06F37A6F"/>
    <w:rsid w:val="06F402A1"/>
    <w:rsid w:val="06F71DB7"/>
    <w:rsid w:val="06FC4B75"/>
    <w:rsid w:val="07017BB4"/>
    <w:rsid w:val="070A2FBC"/>
    <w:rsid w:val="070B4DB8"/>
    <w:rsid w:val="070F6035"/>
    <w:rsid w:val="07131EBF"/>
    <w:rsid w:val="071A4FFB"/>
    <w:rsid w:val="071D399E"/>
    <w:rsid w:val="07283BBC"/>
    <w:rsid w:val="07351E35"/>
    <w:rsid w:val="0736320D"/>
    <w:rsid w:val="07375BAD"/>
    <w:rsid w:val="07397B77"/>
    <w:rsid w:val="073A744C"/>
    <w:rsid w:val="07437267"/>
    <w:rsid w:val="07520C39"/>
    <w:rsid w:val="07554285"/>
    <w:rsid w:val="075946FD"/>
    <w:rsid w:val="076369A2"/>
    <w:rsid w:val="076622AE"/>
    <w:rsid w:val="07666855"/>
    <w:rsid w:val="076B3AA9"/>
    <w:rsid w:val="077435CE"/>
    <w:rsid w:val="07773F7A"/>
    <w:rsid w:val="077B1074"/>
    <w:rsid w:val="077B5E33"/>
    <w:rsid w:val="07834C41"/>
    <w:rsid w:val="079A5410"/>
    <w:rsid w:val="079C0106"/>
    <w:rsid w:val="079C3C62"/>
    <w:rsid w:val="079C4B54"/>
    <w:rsid w:val="07A729E5"/>
    <w:rsid w:val="07A82607"/>
    <w:rsid w:val="07BD3A9C"/>
    <w:rsid w:val="07CD0AC8"/>
    <w:rsid w:val="07D009B9"/>
    <w:rsid w:val="07D11836"/>
    <w:rsid w:val="07D63618"/>
    <w:rsid w:val="07DC1AF5"/>
    <w:rsid w:val="07DF15EF"/>
    <w:rsid w:val="07E13E6C"/>
    <w:rsid w:val="07E61381"/>
    <w:rsid w:val="07E76ED4"/>
    <w:rsid w:val="07E8584F"/>
    <w:rsid w:val="07EA2C20"/>
    <w:rsid w:val="07F7533D"/>
    <w:rsid w:val="07FD6DF7"/>
    <w:rsid w:val="0807295E"/>
    <w:rsid w:val="08096ED2"/>
    <w:rsid w:val="080C0E25"/>
    <w:rsid w:val="08153A69"/>
    <w:rsid w:val="08153DCE"/>
    <w:rsid w:val="081B102B"/>
    <w:rsid w:val="081B54CF"/>
    <w:rsid w:val="0822685D"/>
    <w:rsid w:val="08246246"/>
    <w:rsid w:val="08273E74"/>
    <w:rsid w:val="082B7D80"/>
    <w:rsid w:val="082C2F0D"/>
    <w:rsid w:val="08342A7D"/>
    <w:rsid w:val="08380931"/>
    <w:rsid w:val="08510BE6"/>
    <w:rsid w:val="08536A17"/>
    <w:rsid w:val="085539E3"/>
    <w:rsid w:val="0869623A"/>
    <w:rsid w:val="086F07A7"/>
    <w:rsid w:val="08730E67"/>
    <w:rsid w:val="0874020F"/>
    <w:rsid w:val="08854B4B"/>
    <w:rsid w:val="088F5575"/>
    <w:rsid w:val="089112ED"/>
    <w:rsid w:val="08964EF7"/>
    <w:rsid w:val="089D4136"/>
    <w:rsid w:val="08BF40AC"/>
    <w:rsid w:val="08C400EB"/>
    <w:rsid w:val="08CE2541"/>
    <w:rsid w:val="08D13662"/>
    <w:rsid w:val="08DD3BC7"/>
    <w:rsid w:val="08E04023"/>
    <w:rsid w:val="08EB0F21"/>
    <w:rsid w:val="08F312A6"/>
    <w:rsid w:val="08F57ACE"/>
    <w:rsid w:val="08F63846"/>
    <w:rsid w:val="08F75D7F"/>
    <w:rsid w:val="0902043D"/>
    <w:rsid w:val="090349DF"/>
    <w:rsid w:val="090441B5"/>
    <w:rsid w:val="09173EE8"/>
    <w:rsid w:val="091C13C7"/>
    <w:rsid w:val="091F2D9D"/>
    <w:rsid w:val="0937514F"/>
    <w:rsid w:val="09382F93"/>
    <w:rsid w:val="093C2632"/>
    <w:rsid w:val="093F6F9B"/>
    <w:rsid w:val="094115E1"/>
    <w:rsid w:val="09561F7E"/>
    <w:rsid w:val="095809AD"/>
    <w:rsid w:val="095A1B0F"/>
    <w:rsid w:val="0972399A"/>
    <w:rsid w:val="09745647"/>
    <w:rsid w:val="0978425B"/>
    <w:rsid w:val="097906FF"/>
    <w:rsid w:val="09816C22"/>
    <w:rsid w:val="09863BAB"/>
    <w:rsid w:val="098826F0"/>
    <w:rsid w:val="09906519"/>
    <w:rsid w:val="09973CC1"/>
    <w:rsid w:val="099C1F0D"/>
    <w:rsid w:val="09A56073"/>
    <w:rsid w:val="09A6701A"/>
    <w:rsid w:val="09B039F5"/>
    <w:rsid w:val="09C65DF0"/>
    <w:rsid w:val="09C83435"/>
    <w:rsid w:val="09C94AB7"/>
    <w:rsid w:val="09CA0180"/>
    <w:rsid w:val="09CA2ED4"/>
    <w:rsid w:val="09CD0A4B"/>
    <w:rsid w:val="09CD45A7"/>
    <w:rsid w:val="09CF6571"/>
    <w:rsid w:val="09D403DB"/>
    <w:rsid w:val="09D81C01"/>
    <w:rsid w:val="09D973F0"/>
    <w:rsid w:val="09E244F6"/>
    <w:rsid w:val="09E65607"/>
    <w:rsid w:val="09E85885"/>
    <w:rsid w:val="09EA6F07"/>
    <w:rsid w:val="09ED412F"/>
    <w:rsid w:val="09ED4C49"/>
    <w:rsid w:val="09F14739"/>
    <w:rsid w:val="09F5224A"/>
    <w:rsid w:val="09F675A4"/>
    <w:rsid w:val="09F91840"/>
    <w:rsid w:val="09FC1363"/>
    <w:rsid w:val="0A033204"/>
    <w:rsid w:val="0A03446D"/>
    <w:rsid w:val="0A0D7099"/>
    <w:rsid w:val="0A0F40C1"/>
    <w:rsid w:val="0A171CC6"/>
    <w:rsid w:val="0A1846AD"/>
    <w:rsid w:val="0A1B3564"/>
    <w:rsid w:val="0A232419"/>
    <w:rsid w:val="0A27518B"/>
    <w:rsid w:val="0A29573B"/>
    <w:rsid w:val="0A296CB3"/>
    <w:rsid w:val="0A2F5774"/>
    <w:rsid w:val="0A2F7010"/>
    <w:rsid w:val="0A322F50"/>
    <w:rsid w:val="0A324805"/>
    <w:rsid w:val="0A342878"/>
    <w:rsid w:val="0A3948A3"/>
    <w:rsid w:val="0A40746F"/>
    <w:rsid w:val="0A5151D8"/>
    <w:rsid w:val="0A590531"/>
    <w:rsid w:val="0A59408D"/>
    <w:rsid w:val="0A5B1BB3"/>
    <w:rsid w:val="0A5D524B"/>
    <w:rsid w:val="0A6071C9"/>
    <w:rsid w:val="0A634F0B"/>
    <w:rsid w:val="0A640151"/>
    <w:rsid w:val="0A6558BE"/>
    <w:rsid w:val="0A6842D0"/>
    <w:rsid w:val="0A6D0D3A"/>
    <w:rsid w:val="0A6E5D8A"/>
    <w:rsid w:val="0A7648BF"/>
    <w:rsid w:val="0A766BCC"/>
    <w:rsid w:val="0A790C60"/>
    <w:rsid w:val="0A882BAE"/>
    <w:rsid w:val="0A8C5E53"/>
    <w:rsid w:val="0A8D13DF"/>
    <w:rsid w:val="0A93759F"/>
    <w:rsid w:val="0AA5290E"/>
    <w:rsid w:val="0AA96DC2"/>
    <w:rsid w:val="0AB67731"/>
    <w:rsid w:val="0ABD461B"/>
    <w:rsid w:val="0AC0410C"/>
    <w:rsid w:val="0AC40A5A"/>
    <w:rsid w:val="0AC534D0"/>
    <w:rsid w:val="0ACA2F86"/>
    <w:rsid w:val="0AD45054"/>
    <w:rsid w:val="0AE05E8C"/>
    <w:rsid w:val="0AE40B42"/>
    <w:rsid w:val="0AEE6ECB"/>
    <w:rsid w:val="0AF142C5"/>
    <w:rsid w:val="0AFB6824"/>
    <w:rsid w:val="0B0009AC"/>
    <w:rsid w:val="0B0841C3"/>
    <w:rsid w:val="0B106E41"/>
    <w:rsid w:val="0B15135B"/>
    <w:rsid w:val="0B16053C"/>
    <w:rsid w:val="0B160C13"/>
    <w:rsid w:val="0B1F0D10"/>
    <w:rsid w:val="0B2800A8"/>
    <w:rsid w:val="0B2C17A1"/>
    <w:rsid w:val="0B301A96"/>
    <w:rsid w:val="0B316389"/>
    <w:rsid w:val="0B335CF7"/>
    <w:rsid w:val="0B3C7C36"/>
    <w:rsid w:val="0B3F14D4"/>
    <w:rsid w:val="0B470389"/>
    <w:rsid w:val="0B567477"/>
    <w:rsid w:val="0B5D7BAD"/>
    <w:rsid w:val="0B610433"/>
    <w:rsid w:val="0B723658"/>
    <w:rsid w:val="0B7373D0"/>
    <w:rsid w:val="0B7A075E"/>
    <w:rsid w:val="0B7C6285"/>
    <w:rsid w:val="0B867103"/>
    <w:rsid w:val="0B8D0F28"/>
    <w:rsid w:val="0B8E5FB8"/>
    <w:rsid w:val="0B900744"/>
    <w:rsid w:val="0B901D30"/>
    <w:rsid w:val="0B9335CE"/>
    <w:rsid w:val="0B955598"/>
    <w:rsid w:val="0B9F6417"/>
    <w:rsid w:val="0BA24AC6"/>
    <w:rsid w:val="0BA650B0"/>
    <w:rsid w:val="0BBE689D"/>
    <w:rsid w:val="0BC47C2C"/>
    <w:rsid w:val="0BC56DB6"/>
    <w:rsid w:val="0BCB2D68"/>
    <w:rsid w:val="0BCC3378"/>
    <w:rsid w:val="0BD64717"/>
    <w:rsid w:val="0BD73B30"/>
    <w:rsid w:val="0BE45BD8"/>
    <w:rsid w:val="0BEB6A3C"/>
    <w:rsid w:val="0BEE30CD"/>
    <w:rsid w:val="0BEF6A57"/>
    <w:rsid w:val="0C012C2E"/>
    <w:rsid w:val="0C0B53B3"/>
    <w:rsid w:val="0C136440"/>
    <w:rsid w:val="0C1464BD"/>
    <w:rsid w:val="0C184BF9"/>
    <w:rsid w:val="0C1E00BB"/>
    <w:rsid w:val="0C2049E5"/>
    <w:rsid w:val="0C230DF6"/>
    <w:rsid w:val="0C232647"/>
    <w:rsid w:val="0C25691C"/>
    <w:rsid w:val="0C2A0BF5"/>
    <w:rsid w:val="0C2B45A8"/>
    <w:rsid w:val="0C2D3A23"/>
    <w:rsid w:val="0C3152C1"/>
    <w:rsid w:val="0C324B95"/>
    <w:rsid w:val="0C371869"/>
    <w:rsid w:val="0C395F24"/>
    <w:rsid w:val="0C3F7BB0"/>
    <w:rsid w:val="0C4112ED"/>
    <w:rsid w:val="0C48260B"/>
    <w:rsid w:val="0C483CE5"/>
    <w:rsid w:val="0C5058F0"/>
    <w:rsid w:val="0C590374"/>
    <w:rsid w:val="0C5B233E"/>
    <w:rsid w:val="0C630FC6"/>
    <w:rsid w:val="0C634800"/>
    <w:rsid w:val="0C6801AB"/>
    <w:rsid w:val="0C7156BE"/>
    <w:rsid w:val="0C764B54"/>
    <w:rsid w:val="0C797C21"/>
    <w:rsid w:val="0C7C448E"/>
    <w:rsid w:val="0C850278"/>
    <w:rsid w:val="0C886EAB"/>
    <w:rsid w:val="0C8A677F"/>
    <w:rsid w:val="0C9238CE"/>
    <w:rsid w:val="0C970E9C"/>
    <w:rsid w:val="0C9D4705"/>
    <w:rsid w:val="0CA02447"/>
    <w:rsid w:val="0CAA0BCF"/>
    <w:rsid w:val="0CAC0DEC"/>
    <w:rsid w:val="0CAD06C0"/>
    <w:rsid w:val="0CB11F5E"/>
    <w:rsid w:val="0CB60C95"/>
    <w:rsid w:val="0CBA24AA"/>
    <w:rsid w:val="0CC17C52"/>
    <w:rsid w:val="0CC469FF"/>
    <w:rsid w:val="0CC71781"/>
    <w:rsid w:val="0CCC6D98"/>
    <w:rsid w:val="0CD143AE"/>
    <w:rsid w:val="0CD36378"/>
    <w:rsid w:val="0CD45A1D"/>
    <w:rsid w:val="0CDC5A84"/>
    <w:rsid w:val="0CDD0FA5"/>
    <w:rsid w:val="0CDF2F6F"/>
    <w:rsid w:val="0CE20369"/>
    <w:rsid w:val="0CEA5470"/>
    <w:rsid w:val="0CF737BA"/>
    <w:rsid w:val="0CF91902"/>
    <w:rsid w:val="0CFB142B"/>
    <w:rsid w:val="0CFB767D"/>
    <w:rsid w:val="0CFD33F5"/>
    <w:rsid w:val="0D0429D6"/>
    <w:rsid w:val="0D044784"/>
    <w:rsid w:val="0D0E5602"/>
    <w:rsid w:val="0D0F4ED6"/>
    <w:rsid w:val="0D185A68"/>
    <w:rsid w:val="0D192D09"/>
    <w:rsid w:val="0D1E0763"/>
    <w:rsid w:val="0D1E5CB6"/>
    <w:rsid w:val="0D222E5C"/>
    <w:rsid w:val="0D232A61"/>
    <w:rsid w:val="0D2332ED"/>
    <w:rsid w:val="0D2546FA"/>
    <w:rsid w:val="0D2C59C1"/>
    <w:rsid w:val="0D2E35AF"/>
    <w:rsid w:val="0D3037CB"/>
    <w:rsid w:val="0D32523E"/>
    <w:rsid w:val="0D350DE1"/>
    <w:rsid w:val="0D3C4B60"/>
    <w:rsid w:val="0D3F756A"/>
    <w:rsid w:val="0D472FFD"/>
    <w:rsid w:val="0D500F2B"/>
    <w:rsid w:val="0D533015"/>
    <w:rsid w:val="0D5C4EF6"/>
    <w:rsid w:val="0D5F0A83"/>
    <w:rsid w:val="0D6276FC"/>
    <w:rsid w:val="0D6671EC"/>
    <w:rsid w:val="0D6F00F1"/>
    <w:rsid w:val="0D7731A8"/>
    <w:rsid w:val="0D7E2AE6"/>
    <w:rsid w:val="0D7E51F2"/>
    <w:rsid w:val="0D8238FA"/>
    <w:rsid w:val="0D860802"/>
    <w:rsid w:val="0D8A34B8"/>
    <w:rsid w:val="0D9378B6"/>
    <w:rsid w:val="0DA5374E"/>
    <w:rsid w:val="0DA601C5"/>
    <w:rsid w:val="0DA7094D"/>
    <w:rsid w:val="0DA73361"/>
    <w:rsid w:val="0DB35341"/>
    <w:rsid w:val="0DBB17A6"/>
    <w:rsid w:val="0DBC6E0C"/>
    <w:rsid w:val="0DBE6FD3"/>
    <w:rsid w:val="0DC2517F"/>
    <w:rsid w:val="0DCB324F"/>
    <w:rsid w:val="0DCF4D92"/>
    <w:rsid w:val="0DD203DE"/>
    <w:rsid w:val="0DD3660C"/>
    <w:rsid w:val="0DD405FA"/>
    <w:rsid w:val="0DD51C7C"/>
    <w:rsid w:val="0DD6470C"/>
    <w:rsid w:val="0DF5231E"/>
    <w:rsid w:val="0DF86B73"/>
    <w:rsid w:val="0DF90060"/>
    <w:rsid w:val="0DF95B46"/>
    <w:rsid w:val="0E0A401C"/>
    <w:rsid w:val="0E0A7BE8"/>
    <w:rsid w:val="0E0D40F9"/>
    <w:rsid w:val="0E0F4EB8"/>
    <w:rsid w:val="0E122ED0"/>
    <w:rsid w:val="0E15476E"/>
    <w:rsid w:val="0E193CE2"/>
    <w:rsid w:val="0E1C459B"/>
    <w:rsid w:val="0E1C677F"/>
    <w:rsid w:val="0E1D53EF"/>
    <w:rsid w:val="0E1E3623"/>
    <w:rsid w:val="0E1F1468"/>
    <w:rsid w:val="0E211365"/>
    <w:rsid w:val="0E2D1AB8"/>
    <w:rsid w:val="0E327D1B"/>
    <w:rsid w:val="0E330ED4"/>
    <w:rsid w:val="0E3610CB"/>
    <w:rsid w:val="0E3C6626"/>
    <w:rsid w:val="0E3C7F4D"/>
    <w:rsid w:val="0E3E3568"/>
    <w:rsid w:val="0E407A3D"/>
    <w:rsid w:val="0E456E02"/>
    <w:rsid w:val="0E484B44"/>
    <w:rsid w:val="0E497FFD"/>
    <w:rsid w:val="0E56100F"/>
    <w:rsid w:val="0E6179B4"/>
    <w:rsid w:val="0E644A75"/>
    <w:rsid w:val="0E680D42"/>
    <w:rsid w:val="0E686F94"/>
    <w:rsid w:val="0E697FB4"/>
    <w:rsid w:val="0E6A6868"/>
    <w:rsid w:val="0E6C21DF"/>
    <w:rsid w:val="0E6D45AA"/>
    <w:rsid w:val="0E726A09"/>
    <w:rsid w:val="0E8042DE"/>
    <w:rsid w:val="0E87566C"/>
    <w:rsid w:val="0E895060"/>
    <w:rsid w:val="0E953933"/>
    <w:rsid w:val="0E9733D5"/>
    <w:rsid w:val="0E9C01D8"/>
    <w:rsid w:val="0EAA11F9"/>
    <w:rsid w:val="0EAA135B"/>
    <w:rsid w:val="0EAB2129"/>
    <w:rsid w:val="0EBA4230"/>
    <w:rsid w:val="0EBB32CD"/>
    <w:rsid w:val="0EBB7522"/>
    <w:rsid w:val="0EBC26D6"/>
    <w:rsid w:val="0EBE0962"/>
    <w:rsid w:val="0EC20452"/>
    <w:rsid w:val="0ECA37AB"/>
    <w:rsid w:val="0ECA456B"/>
    <w:rsid w:val="0ED2440E"/>
    <w:rsid w:val="0ED713A0"/>
    <w:rsid w:val="0ED85EC8"/>
    <w:rsid w:val="0EE26D46"/>
    <w:rsid w:val="0EE7435D"/>
    <w:rsid w:val="0EF23E17"/>
    <w:rsid w:val="0EF40F53"/>
    <w:rsid w:val="0EF82647"/>
    <w:rsid w:val="0EF91A2E"/>
    <w:rsid w:val="0EFF5A98"/>
    <w:rsid w:val="0F1054BD"/>
    <w:rsid w:val="0F121B26"/>
    <w:rsid w:val="0F2A5FF8"/>
    <w:rsid w:val="0F2B249C"/>
    <w:rsid w:val="0F307AB2"/>
    <w:rsid w:val="0F3C0B05"/>
    <w:rsid w:val="0F3F1AA3"/>
    <w:rsid w:val="0F4075C9"/>
    <w:rsid w:val="0F467500"/>
    <w:rsid w:val="0F4A0448"/>
    <w:rsid w:val="0F4C0664"/>
    <w:rsid w:val="0F4C2CED"/>
    <w:rsid w:val="0F553B7C"/>
    <w:rsid w:val="0F59042D"/>
    <w:rsid w:val="0F704352"/>
    <w:rsid w:val="0F7363A4"/>
    <w:rsid w:val="0F7D081D"/>
    <w:rsid w:val="0F864741"/>
    <w:rsid w:val="0F873473"/>
    <w:rsid w:val="0F873629"/>
    <w:rsid w:val="0F8B4CE8"/>
    <w:rsid w:val="0F900551"/>
    <w:rsid w:val="0F900A8A"/>
    <w:rsid w:val="0F997115"/>
    <w:rsid w:val="0F9B0CA3"/>
    <w:rsid w:val="0F9C6EF5"/>
    <w:rsid w:val="0F9D0C26"/>
    <w:rsid w:val="0FA31390"/>
    <w:rsid w:val="0FA43FFC"/>
    <w:rsid w:val="0FA45DAA"/>
    <w:rsid w:val="0FA57836"/>
    <w:rsid w:val="0FAB4813"/>
    <w:rsid w:val="0FBF71DA"/>
    <w:rsid w:val="0FC1070A"/>
    <w:rsid w:val="0FD65D79"/>
    <w:rsid w:val="0FD83CA6"/>
    <w:rsid w:val="0FE25086"/>
    <w:rsid w:val="0FE4264A"/>
    <w:rsid w:val="0FE443F8"/>
    <w:rsid w:val="0FF27915"/>
    <w:rsid w:val="0FF36F9B"/>
    <w:rsid w:val="0FFF2388"/>
    <w:rsid w:val="100131FC"/>
    <w:rsid w:val="10014FAA"/>
    <w:rsid w:val="10060813"/>
    <w:rsid w:val="10101691"/>
    <w:rsid w:val="10104DB0"/>
    <w:rsid w:val="101271B8"/>
    <w:rsid w:val="1021389E"/>
    <w:rsid w:val="102F556C"/>
    <w:rsid w:val="10376C1E"/>
    <w:rsid w:val="10387D70"/>
    <w:rsid w:val="10394D13"/>
    <w:rsid w:val="103A0073"/>
    <w:rsid w:val="103C4234"/>
    <w:rsid w:val="103F53B9"/>
    <w:rsid w:val="10480E2B"/>
    <w:rsid w:val="104F70F7"/>
    <w:rsid w:val="10524210"/>
    <w:rsid w:val="105477D0"/>
    <w:rsid w:val="10575182"/>
    <w:rsid w:val="105B299E"/>
    <w:rsid w:val="1063632A"/>
    <w:rsid w:val="10637A13"/>
    <w:rsid w:val="106C2D6C"/>
    <w:rsid w:val="106D3814"/>
    <w:rsid w:val="10802373"/>
    <w:rsid w:val="10817E99"/>
    <w:rsid w:val="108856CC"/>
    <w:rsid w:val="10894124"/>
    <w:rsid w:val="10944070"/>
    <w:rsid w:val="10965DD0"/>
    <w:rsid w:val="109776BD"/>
    <w:rsid w:val="109813C2"/>
    <w:rsid w:val="109F4075"/>
    <w:rsid w:val="10A83B80"/>
    <w:rsid w:val="10A95523"/>
    <w:rsid w:val="10AF0EAA"/>
    <w:rsid w:val="10B60A0F"/>
    <w:rsid w:val="10B82071"/>
    <w:rsid w:val="10BB15FD"/>
    <w:rsid w:val="10BB784F"/>
    <w:rsid w:val="10BE733F"/>
    <w:rsid w:val="10C50464"/>
    <w:rsid w:val="10C64491"/>
    <w:rsid w:val="10CD1330"/>
    <w:rsid w:val="10D51B29"/>
    <w:rsid w:val="10D8419A"/>
    <w:rsid w:val="10DB451B"/>
    <w:rsid w:val="10E04EA0"/>
    <w:rsid w:val="10E30B54"/>
    <w:rsid w:val="11001476"/>
    <w:rsid w:val="11021117"/>
    <w:rsid w:val="110A60E1"/>
    <w:rsid w:val="110B7CE6"/>
    <w:rsid w:val="110D797F"/>
    <w:rsid w:val="11131439"/>
    <w:rsid w:val="11292A0B"/>
    <w:rsid w:val="11295CD8"/>
    <w:rsid w:val="112F5B47"/>
    <w:rsid w:val="113413B0"/>
    <w:rsid w:val="113B273E"/>
    <w:rsid w:val="11403F27"/>
    <w:rsid w:val="11477335"/>
    <w:rsid w:val="114C66F9"/>
    <w:rsid w:val="11511160"/>
    <w:rsid w:val="115349B0"/>
    <w:rsid w:val="115832F0"/>
    <w:rsid w:val="115F57E9"/>
    <w:rsid w:val="11613948"/>
    <w:rsid w:val="11627CCB"/>
    <w:rsid w:val="116457F1"/>
    <w:rsid w:val="116A526D"/>
    <w:rsid w:val="116C28F7"/>
    <w:rsid w:val="11780488"/>
    <w:rsid w:val="117A285D"/>
    <w:rsid w:val="117B40FD"/>
    <w:rsid w:val="118511BA"/>
    <w:rsid w:val="118769CB"/>
    <w:rsid w:val="118E0AC0"/>
    <w:rsid w:val="11904BF8"/>
    <w:rsid w:val="119A1FCA"/>
    <w:rsid w:val="119B31DD"/>
    <w:rsid w:val="119F2CCD"/>
    <w:rsid w:val="11A936D4"/>
    <w:rsid w:val="11A958FA"/>
    <w:rsid w:val="11AE1162"/>
    <w:rsid w:val="11B042DD"/>
    <w:rsid w:val="11B61DC5"/>
    <w:rsid w:val="11C10E95"/>
    <w:rsid w:val="11C97B52"/>
    <w:rsid w:val="11CC1466"/>
    <w:rsid w:val="11D0732A"/>
    <w:rsid w:val="11D22345"/>
    <w:rsid w:val="11DC1820"/>
    <w:rsid w:val="11EE5A02"/>
    <w:rsid w:val="11EE77B0"/>
    <w:rsid w:val="11F34DC7"/>
    <w:rsid w:val="11F748B7"/>
    <w:rsid w:val="11F7576D"/>
    <w:rsid w:val="11F823DD"/>
    <w:rsid w:val="11FB6DC8"/>
    <w:rsid w:val="11FC0B91"/>
    <w:rsid w:val="12064AFA"/>
    <w:rsid w:val="120945EA"/>
    <w:rsid w:val="120E5CA1"/>
    <w:rsid w:val="12170AB5"/>
    <w:rsid w:val="121A05A5"/>
    <w:rsid w:val="121B418D"/>
    <w:rsid w:val="121D48EB"/>
    <w:rsid w:val="122225D7"/>
    <w:rsid w:val="12296A3A"/>
    <w:rsid w:val="122E62E4"/>
    <w:rsid w:val="122F28C3"/>
    <w:rsid w:val="123A029E"/>
    <w:rsid w:val="123E1EC7"/>
    <w:rsid w:val="124245C1"/>
    <w:rsid w:val="12430AD8"/>
    <w:rsid w:val="12477B58"/>
    <w:rsid w:val="125735A8"/>
    <w:rsid w:val="126A32DB"/>
    <w:rsid w:val="126B0E01"/>
    <w:rsid w:val="12705D8B"/>
    <w:rsid w:val="12755EEA"/>
    <w:rsid w:val="127777A6"/>
    <w:rsid w:val="127952CC"/>
    <w:rsid w:val="127B61EA"/>
    <w:rsid w:val="128820E1"/>
    <w:rsid w:val="12922832"/>
    <w:rsid w:val="129A3715"/>
    <w:rsid w:val="129B7938"/>
    <w:rsid w:val="12A06CFD"/>
    <w:rsid w:val="12A365AA"/>
    <w:rsid w:val="12A52565"/>
    <w:rsid w:val="12A8795F"/>
    <w:rsid w:val="12AF2959"/>
    <w:rsid w:val="12B24BE1"/>
    <w:rsid w:val="12B502CE"/>
    <w:rsid w:val="12BA5360"/>
    <w:rsid w:val="12BE7183"/>
    <w:rsid w:val="12C00E0F"/>
    <w:rsid w:val="12C717C1"/>
    <w:rsid w:val="12CD386A"/>
    <w:rsid w:val="12D4066C"/>
    <w:rsid w:val="12D55F11"/>
    <w:rsid w:val="12D65E66"/>
    <w:rsid w:val="12D746E8"/>
    <w:rsid w:val="12DC3AAD"/>
    <w:rsid w:val="12DD62D4"/>
    <w:rsid w:val="12DE7825"/>
    <w:rsid w:val="12E41216"/>
    <w:rsid w:val="12E666D9"/>
    <w:rsid w:val="12E978C1"/>
    <w:rsid w:val="12EE06F0"/>
    <w:rsid w:val="12EE3867"/>
    <w:rsid w:val="12F75041"/>
    <w:rsid w:val="12FE11BE"/>
    <w:rsid w:val="12FE7EC7"/>
    <w:rsid w:val="13024F2E"/>
    <w:rsid w:val="130848A2"/>
    <w:rsid w:val="130C0557"/>
    <w:rsid w:val="130D0014"/>
    <w:rsid w:val="131328B0"/>
    <w:rsid w:val="13167D62"/>
    <w:rsid w:val="13180F89"/>
    <w:rsid w:val="13217712"/>
    <w:rsid w:val="132C019B"/>
    <w:rsid w:val="132D60B6"/>
    <w:rsid w:val="132E043C"/>
    <w:rsid w:val="132F28D0"/>
    <w:rsid w:val="1332534F"/>
    <w:rsid w:val="13346759"/>
    <w:rsid w:val="133509F9"/>
    <w:rsid w:val="13386F35"/>
    <w:rsid w:val="13503426"/>
    <w:rsid w:val="13655850"/>
    <w:rsid w:val="13685340"/>
    <w:rsid w:val="136A2E67"/>
    <w:rsid w:val="136F089E"/>
    <w:rsid w:val="137361BF"/>
    <w:rsid w:val="13765528"/>
    <w:rsid w:val="137837D5"/>
    <w:rsid w:val="137B1518"/>
    <w:rsid w:val="137D2B9A"/>
    <w:rsid w:val="13855EF2"/>
    <w:rsid w:val="13857CA0"/>
    <w:rsid w:val="13890547"/>
    <w:rsid w:val="138B2017"/>
    <w:rsid w:val="138E23CC"/>
    <w:rsid w:val="139029BB"/>
    <w:rsid w:val="13912AE9"/>
    <w:rsid w:val="139221E1"/>
    <w:rsid w:val="13954B4D"/>
    <w:rsid w:val="13961EAE"/>
    <w:rsid w:val="13972729"/>
    <w:rsid w:val="13977400"/>
    <w:rsid w:val="139831BB"/>
    <w:rsid w:val="139B6544"/>
    <w:rsid w:val="139E2E9A"/>
    <w:rsid w:val="13A04ADA"/>
    <w:rsid w:val="13A91BE1"/>
    <w:rsid w:val="13A9398F"/>
    <w:rsid w:val="13B7188E"/>
    <w:rsid w:val="13BD35E6"/>
    <w:rsid w:val="13CC1D73"/>
    <w:rsid w:val="13CE21C6"/>
    <w:rsid w:val="13D749A0"/>
    <w:rsid w:val="13D84274"/>
    <w:rsid w:val="13D86B6B"/>
    <w:rsid w:val="13E250F3"/>
    <w:rsid w:val="13E604E2"/>
    <w:rsid w:val="13F015BE"/>
    <w:rsid w:val="13F26994"/>
    <w:rsid w:val="13F5101B"/>
    <w:rsid w:val="13FA068E"/>
    <w:rsid w:val="13FC61B5"/>
    <w:rsid w:val="14011A1D"/>
    <w:rsid w:val="140A39B3"/>
    <w:rsid w:val="140D3617"/>
    <w:rsid w:val="140E7208"/>
    <w:rsid w:val="14156B47"/>
    <w:rsid w:val="141D7875"/>
    <w:rsid w:val="141F1EA3"/>
    <w:rsid w:val="142411FB"/>
    <w:rsid w:val="14294AD0"/>
    <w:rsid w:val="142D2812"/>
    <w:rsid w:val="14320C18"/>
    <w:rsid w:val="14327E28"/>
    <w:rsid w:val="143376FC"/>
    <w:rsid w:val="14373691"/>
    <w:rsid w:val="143C0CA7"/>
    <w:rsid w:val="14434391"/>
    <w:rsid w:val="144638D4"/>
    <w:rsid w:val="144C76BE"/>
    <w:rsid w:val="144E09DA"/>
    <w:rsid w:val="145429CC"/>
    <w:rsid w:val="145533A6"/>
    <w:rsid w:val="145A16CA"/>
    <w:rsid w:val="145F4995"/>
    <w:rsid w:val="14693FA2"/>
    <w:rsid w:val="14770888"/>
    <w:rsid w:val="147E16A4"/>
    <w:rsid w:val="14830684"/>
    <w:rsid w:val="14860BF1"/>
    <w:rsid w:val="14877402"/>
    <w:rsid w:val="148B578A"/>
    <w:rsid w:val="149E030E"/>
    <w:rsid w:val="14A5684C"/>
    <w:rsid w:val="14B00D4D"/>
    <w:rsid w:val="14B17CB1"/>
    <w:rsid w:val="14B22D17"/>
    <w:rsid w:val="14B65B66"/>
    <w:rsid w:val="14BB272F"/>
    <w:rsid w:val="14C72A25"/>
    <w:rsid w:val="14CA3957"/>
    <w:rsid w:val="14D9663A"/>
    <w:rsid w:val="14DB1649"/>
    <w:rsid w:val="14DE4F06"/>
    <w:rsid w:val="14DE58BA"/>
    <w:rsid w:val="14E37374"/>
    <w:rsid w:val="14E97B50"/>
    <w:rsid w:val="14EA24B1"/>
    <w:rsid w:val="14F0383F"/>
    <w:rsid w:val="14F90946"/>
    <w:rsid w:val="14FE41AE"/>
    <w:rsid w:val="15033573"/>
    <w:rsid w:val="15043163"/>
    <w:rsid w:val="1505741E"/>
    <w:rsid w:val="150C68CB"/>
    <w:rsid w:val="151353C3"/>
    <w:rsid w:val="151412DC"/>
    <w:rsid w:val="15187863"/>
    <w:rsid w:val="152D6842"/>
    <w:rsid w:val="15436924"/>
    <w:rsid w:val="15542020"/>
    <w:rsid w:val="155669BC"/>
    <w:rsid w:val="155B0092"/>
    <w:rsid w:val="155B23FC"/>
    <w:rsid w:val="155B515D"/>
    <w:rsid w:val="15610299"/>
    <w:rsid w:val="15611198"/>
    <w:rsid w:val="1565422D"/>
    <w:rsid w:val="15681628"/>
    <w:rsid w:val="156E30E2"/>
    <w:rsid w:val="156E6E68"/>
    <w:rsid w:val="157466D4"/>
    <w:rsid w:val="15763D45"/>
    <w:rsid w:val="157B135B"/>
    <w:rsid w:val="158E72E0"/>
    <w:rsid w:val="158F3058"/>
    <w:rsid w:val="159152B2"/>
    <w:rsid w:val="15966195"/>
    <w:rsid w:val="15982039"/>
    <w:rsid w:val="15994905"/>
    <w:rsid w:val="159C0FCE"/>
    <w:rsid w:val="15A24B3A"/>
    <w:rsid w:val="15A41C61"/>
    <w:rsid w:val="15A97283"/>
    <w:rsid w:val="15AA3DF3"/>
    <w:rsid w:val="15B11221"/>
    <w:rsid w:val="15B200CF"/>
    <w:rsid w:val="15B34F99"/>
    <w:rsid w:val="15B97F07"/>
    <w:rsid w:val="15C01464"/>
    <w:rsid w:val="15C02DDF"/>
    <w:rsid w:val="15C2342E"/>
    <w:rsid w:val="15C471A6"/>
    <w:rsid w:val="15CD7A9E"/>
    <w:rsid w:val="15D649A0"/>
    <w:rsid w:val="15D66983"/>
    <w:rsid w:val="15D75342"/>
    <w:rsid w:val="15D942D4"/>
    <w:rsid w:val="15DD4CF8"/>
    <w:rsid w:val="15DF28B9"/>
    <w:rsid w:val="15E213DA"/>
    <w:rsid w:val="15E50DBC"/>
    <w:rsid w:val="15E52C78"/>
    <w:rsid w:val="15EE7D7F"/>
    <w:rsid w:val="15F15AC1"/>
    <w:rsid w:val="15F51685"/>
    <w:rsid w:val="15F5735F"/>
    <w:rsid w:val="15FC23FE"/>
    <w:rsid w:val="15FF3B4E"/>
    <w:rsid w:val="160238AB"/>
    <w:rsid w:val="16054060"/>
    <w:rsid w:val="16054C24"/>
    <w:rsid w:val="160C6457"/>
    <w:rsid w:val="160E0624"/>
    <w:rsid w:val="160F7CF5"/>
    <w:rsid w:val="161377E5"/>
    <w:rsid w:val="161539CC"/>
    <w:rsid w:val="16201F02"/>
    <w:rsid w:val="16261842"/>
    <w:rsid w:val="16367C8F"/>
    <w:rsid w:val="16381757"/>
    <w:rsid w:val="163A1216"/>
    <w:rsid w:val="163C6D3C"/>
    <w:rsid w:val="163D0D06"/>
    <w:rsid w:val="163D62F3"/>
    <w:rsid w:val="16405D59"/>
    <w:rsid w:val="164200CB"/>
    <w:rsid w:val="16426169"/>
    <w:rsid w:val="165110B9"/>
    <w:rsid w:val="16513102"/>
    <w:rsid w:val="1652605F"/>
    <w:rsid w:val="16573C5D"/>
    <w:rsid w:val="16575312"/>
    <w:rsid w:val="165B2F3A"/>
    <w:rsid w:val="165D6CB3"/>
    <w:rsid w:val="165F0C7D"/>
    <w:rsid w:val="16625582"/>
    <w:rsid w:val="1663210B"/>
    <w:rsid w:val="166718DF"/>
    <w:rsid w:val="1667245B"/>
    <w:rsid w:val="166817B1"/>
    <w:rsid w:val="16685D83"/>
    <w:rsid w:val="16737128"/>
    <w:rsid w:val="1675224E"/>
    <w:rsid w:val="16781D3E"/>
    <w:rsid w:val="167A2592"/>
    <w:rsid w:val="167A7865"/>
    <w:rsid w:val="168129A1"/>
    <w:rsid w:val="1683496B"/>
    <w:rsid w:val="1695644C"/>
    <w:rsid w:val="16981026"/>
    <w:rsid w:val="169839BA"/>
    <w:rsid w:val="169A0EAB"/>
    <w:rsid w:val="169A2C48"/>
    <w:rsid w:val="169F551D"/>
    <w:rsid w:val="16A416A1"/>
    <w:rsid w:val="16AB3EC2"/>
    <w:rsid w:val="16AE5760"/>
    <w:rsid w:val="16AF05F0"/>
    <w:rsid w:val="16AF39B2"/>
    <w:rsid w:val="16B0708C"/>
    <w:rsid w:val="16B15CA2"/>
    <w:rsid w:val="16BF21A1"/>
    <w:rsid w:val="16C15493"/>
    <w:rsid w:val="16C531D6"/>
    <w:rsid w:val="16D026BB"/>
    <w:rsid w:val="16D61FC6"/>
    <w:rsid w:val="16D9120B"/>
    <w:rsid w:val="16DA00F3"/>
    <w:rsid w:val="16E41182"/>
    <w:rsid w:val="16E42F30"/>
    <w:rsid w:val="16FD761E"/>
    <w:rsid w:val="1705751F"/>
    <w:rsid w:val="171C4F8B"/>
    <w:rsid w:val="172227F2"/>
    <w:rsid w:val="17247DCA"/>
    <w:rsid w:val="17263548"/>
    <w:rsid w:val="17345C65"/>
    <w:rsid w:val="173A4AA3"/>
    <w:rsid w:val="173E0892"/>
    <w:rsid w:val="17426B8D"/>
    <w:rsid w:val="17444A5A"/>
    <w:rsid w:val="174E33E4"/>
    <w:rsid w:val="175F3471"/>
    <w:rsid w:val="17784968"/>
    <w:rsid w:val="17784B61"/>
    <w:rsid w:val="177B7D38"/>
    <w:rsid w:val="177E5132"/>
    <w:rsid w:val="17843670"/>
    <w:rsid w:val="178A1D29"/>
    <w:rsid w:val="178E7A6B"/>
    <w:rsid w:val="178F5592"/>
    <w:rsid w:val="178F7340"/>
    <w:rsid w:val="179240F0"/>
    <w:rsid w:val="179761F4"/>
    <w:rsid w:val="179844C5"/>
    <w:rsid w:val="17A74689"/>
    <w:rsid w:val="17A830E2"/>
    <w:rsid w:val="17AA4179"/>
    <w:rsid w:val="17B31280"/>
    <w:rsid w:val="17B615F2"/>
    <w:rsid w:val="17C074F9"/>
    <w:rsid w:val="17CA65CA"/>
    <w:rsid w:val="17D35D21"/>
    <w:rsid w:val="17D45C0F"/>
    <w:rsid w:val="17DF301F"/>
    <w:rsid w:val="17E8444C"/>
    <w:rsid w:val="17F75412"/>
    <w:rsid w:val="180B17EE"/>
    <w:rsid w:val="180B23B7"/>
    <w:rsid w:val="181810E3"/>
    <w:rsid w:val="181D2442"/>
    <w:rsid w:val="182C2DE0"/>
    <w:rsid w:val="182C6276"/>
    <w:rsid w:val="18300B23"/>
    <w:rsid w:val="18383EAD"/>
    <w:rsid w:val="18387277"/>
    <w:rsid w:val="1839079F"/>
    <w:rsid w:val="183964CA"/>
    <w:rsid w:val="183B3024"/>
    <w:rsid w:val="18404F57"/>
    <w:rsid w:val="18414CB6"/>
    <w:rsid w:val="184E2D57"/>
    <w:rsid w:val="185540E5"/>
    <w:rsid w:val="185B5474"/>
    <w:rsid w:val="18622CA6"/>
    <w:rsid w:val="18646F61"/>
    <w:rsid w:val="18695DE3"/>
    <w:rsid w:val="18702CCD"/>
    <w:rsid w:val="18787DD4"/>
    <w:rsid w:val="187A3B4C"/>
    <w:rsid w:val="187D363C"/>
    <w:rsid w:val="189F09FB"/>
    <w:rsid w:val="189F7A56"/>
    <w:rsid w:val="18A26E83"/>
    <w:rsid w:val="18A27F6E"/>
    <w:rsid w:val="18A706B9"/>
    <w:rsid w:val="18B21538"/>
    <w:rsid w:val="18B66808"/>
    <w:rsid w:val="18BA03EC"/>
    <w:rsid w:val="18BD4DB0"/>
    <w:rsid w:val="18C33745"/>
    <w:rsid w:val="18C64FE3"/>
    <w:rsid w:val="18D524FF"/>
    <w:rsid w:val="18D751B2"/>
    <w:rsid w:val="18D94773"/>
    <w:rsid w:val="18DD1761"/>
    <w:rsid w:val="18DE057F"/>
    <w:rsid w:val="18DF7E53"/>
    <w:rsid w:val="18E81B33"/>
    <w:rsid w:val="18F356AC"/>
    <w:rsid w:val="18FA2EDF"/>
    <w:rsid w:val="190475D2"/>
    <w:rsid w:val="1909092B"/>
    <w:rsid w:val="190F1931"/>
    <w:rsid w:val="1913123F"/>
    <w:rsid w:val="19145D4E"/>
    <w:rsid w:val="191A7623"/>
    <w:rsid w:val="191C083B"/>
    <w:rsid w:val="191F46F3"/>
    <w:rsid w:val="19205183"/>
    <w:rsid w:val="19246104"/>
    <w:rsid w:val="19267830"/>
    <w:rsid w:val="19297320"/>
    <w:rsid w:val="19324427"/>
    <w:rsid w:val="19332FA3"/>
    <w:rsid w:val="193C52A5"/>
    <w:rsid w:val="19404D95"/>
    <w:rsid w:val="19461C80"/>
    <w:rsid w:val="194B4A95"/>
    <w:rsid w:val="194D2CE1"/>
    <w:rsid w:val="194E3880"/>
    <w:rsid w:val="19557E86"/>
    <w:rsid w:val="195A29A1"/>
    <w:rsid w:val="195E521C"/>
    <w:rsid w:val="19611E60"/>
    <w:rsid w:val="1965563C"/>
    <w:rsid w:val="19696175"/>
    <w:rsid w:val="19762565"/>
    <w:rsid w:val="19784182"/>
    <w:rsid w:val="19797114"/>
    <w:rsid w:val="19814CCA"/>
    <w:rsid w:val="19834C82"/>
    <w:rsid w:val="198452E5"/>
    <w:rsid w:val="19897784"/>
    <w:rsid w:val="198A4263"/>
    <w:rsid w:val="198D3D53"/>
    <w:rsid w:val="199724DC"/>
    <w:rsid w:val="19973E6A"/>
    <w:rsid w:val="199944A6"/>
    <w:rsid w:val="199E0B12"/>
    <w:rsid w:val="19A50196"/>
    <w:rsid w:val="19B4308D"/>
    <w:rsid w:val="19B72B7E"/>
    <w:rsid w:val="19BE4881"/>
    <w:rsid w:val="19C57049"/>
    <w:rsid w:val="19CF1C75"/>
    <w:rsid w:val="19D454DE"/>
    <w:rsid w:val="19DB3D80"/>
    <w:rsid w:val="19DE010A"/>
    <w:rsid w:val="19DF509A"/>
    <w:rsid w:val="19E6489E"/>
    <w:rsid w:val="19EA2F53"/>
    <w:rsid w:val="19F0253A"/>
    <w:rsid w:val="19FE05BC"/>
    <w:rsid w:val="19FE07AD"/>
    <w:rsid w:val="1A02029D"/>
    <w:rsid w:val="1A027489"/>
    <w:rsid w:val="1A034F10"/>
    <w:rsid w:val="1A07140F"/>
    <w:rsid w:val="1A071979"/>
    <w:rsid w:val="1A0758B3"/>
    <w:rsid w:val="1A077661"/>
    <w:rsid w:val="1A0A0EFF"/>
    <w:rsid w:val="1A0C1235"/>
    <w:rsid w:val="1A116732"/>
    <w:rsid w:val="1A14446F"/>
    <w:rsid w:val="1A192F67"/>
    <w:rsid w:val="1A2F0966"/>
    <w:rsid w:val="1A2F6BB8"/>
    <w:rsid w:val="1A3418C5"/>
    <w:rsid w:val="1A393593"/>
    <w:rsid w:val="1A4377A1"/>
    <w:rsid w:val="1A4A57A0"/>
    <w:rsid w:val="1A4C59BC"/>
    <w:rsid w:val="1A4F2DB6"/>
    <w:rsid w:val="1A513916"/>
    <w:rsid w:val="1A53412E"/>
    <w:rsid w:val="1A5C6187"/>
    <w:rsid w:val="1A5F2FF9"/>
    <w:rsid w:val="1A662169"/>
    <w:rsid w:val="1A793ECD"/>
    <w:rsid w:val="1A7E3DDA"/>
    <w:rsid w:val="1A8213DE"/>
    <w:rsid w:val="1A871B80"/>
    <w:rsid w:val="1A907657"/>
    <w:rsid w:val="1A933FFE"/>
    <w:rsid w:val="1A9A5EF7"/>
    <w:rsid w:val="1A9B487D"/>
    <w:rsid w:val="1AA41354"/>
    <w:rsid w:val="1AAA402B"/>
    <w:rsid w:val="1AB8095B"/>
    <w:rsid w:val="1AB86BAD"/>
    <w:rsid w:val="1ABD5C4D"/>
    <w:rsid w:val="1AC5618D"/>
    <w:rsid w:val="1AC67CAC"/>
    <w:rsid w:val="1ACF6C99"/>
    <w:rsid w:val="1AD14F83"/>
    <w:rsid w:val="1AD75285"/>
    <w:rsid w:val="1ADA2FC8"/>
    <w:rsid w:val="1ADA4D76"/>
    <w:rsid w:val="1ADC289C"/>
    <w:rsid w:val="1ADE4866"/>
    <w:rsid w:val="1ADF2787"/>
    <w:rsid w:val="1AE70ACE"/>
    <w:rsid w:val="1AF077EF"/>
    <w:rsid w:val="1AF75928"/>
    <w:rsid w:val="1AFC5A84"/>
    <w:rsid w:val="1B082A8D"/>
    <w:rsid w:val="1B0D0CA7"/>
    <w:rsid w:val="1B100797"/>
    <w:rsid w:val="1B102545"/>
    <w:rsid w:val="1B124510"/>
    <w:rsid w:val="1B155DAE"/>
    <w:rsid w:val="1B163E0D"/>
    <w:rsid w:val="1B1C2D33"/>
    <w:rsid w:val="1B1E748F"/>
    <w:rsid w:val="1B2E1125"/>
    <w:rsid w:val="1B393D4A"/>
    <w:rsid w:val="1B397CEE"/>
    <w:rsid w:val="1B3B1C95"/>
    <w:rsid w:val="1B3C158C"/>
    <w:rsid w:val="1B410A4A"/>
    <w:rsid w:val="1B476371"/>
    <w:rsid w:val="1B485AE5"/>
    <w:rsid w:val="1B4B2131"/>
    <w:rsid w:val="1B4D379A"/>
    <w:rsid w:val="1B4D4249"/>
    <w:rsid w:val="1B4F57C2"/>
    <w:rsid w:val="1B510FEE"/>
    <w:rsid w:val="1B542D7A"/>
    <w:rsid w:val="1B55264E"/>
    <w:rsid w:val="1B567899"/>
    <w:rsid w:val="1B5A1A13"/>
    <w:rsid w:val="1B632B9C"/>
    <w:rsid w:val="1B654CB8"/>
    <w:rsid w:val="1B682698"/>
    <w:rsid w:val="1B684130"/>
    <w:rsid w:val="1B6F680A"/>
    <w:rsid w:val="1B762B2C"/>
    <w:rsid w:val="1B762CF0"/>
    <w:rsid w:val="1B766B87"/>
    <w:rsid w:val="1B79633D"/>
    <w:rsid w:val="1B7D7315"/>
    <w:rsid w:val="1B8A0CEC"/>
    <w:rsid w:val="1B99078D"/>
    <w:rsid w:val="1BA11A37"/>
    <w:rsid w:val="1BA15893"/>
    <w:rsid w:val="1BAE5A03"/>
    <w:rsid w:val="1BB27AA1"/>
    <w:rsid w:val="1BBE6686"/>
    <w:rsid w:val="1BCA43D1"/>
    <w:rsid w:val="1BD610B9"/>
    <w:rsid w:val="1BD871E7"/>
    <w:rsid w:val="1BDC68CC"/>
    <w:rsid w:val="1BE36FBF"/>
    <w:rsid w:val="1BEF2AA3"/>
    <w:rsid w:val="1BF0232B"/>
    <w:rsid w:val="1BF80966"/>
    <w:rsid w:val="1BFD0D1C"/>
    <w:rsid w:val="1BFF20F5"/>
    <w:rsid w:val="1C006A5E"/>
    <w:rsid w:val="1C042A47"/>
    <w:rsid w:val="1C095F13"/>
    <w:rsid w:val="1C1059AD"/>
    <w:rsid w:val="1C1B2F7B"/>
    <w:rsid w:val="1C33298F"/>
    <w:rsid w:val="1C3404B6"/>
    <w:rsid w:val="1C340CA6"/>
    <w:rsid w:val="1C385D2F"/>
    <w:rsid w:val="1C3E4468"/>
    <w:rsid w:val="1C424981"/>
    <w:rsid w:val="1C440CF5"/>
    <w:rsid w:val="1C503005"/>
    <w:rsid w:val="1C533032"/>
    <w:rsid w:val="1C5841A4"/>
    <w:rsid w:val="1C5B250F"/>
    <w:rsid w:val="1C6C2EF7"/>
    <w:rsid w:val="1C6E7E6B"/>
    <w:rsid w:val="1C784846"/>
    <w:rsid w:val="1C817B9F"/>
    <w:rsid w:val="1C837C6F"/>
    <w:rsid w:val="1C99656B"/>
    <w:rsid w:val="1CA473E9"/>
    <w:rsid w:val="1CA94A00"/>
    <w:rsid w:val="1CAC7AB8"/>
    <w:rsid w:val="1CBB4733"/>
    <w:rsid w:val="1CC96B83"/>
    <w:rsid w:val="1CCB0E1A"/>
    <w:rsid w:val="1CCE4466"/>
    <w:rsid w:val="1CD14095"/>
    <w:rsid w:val="1CD23133"/>
    <w:rsid w:val="1CE53331"/>
    <w:rsid w:val="1CE67A02"/>
    <w:rsid w:val="1CE7377A"/>
    <w:rsid w:val="1CED6FE2"/>
    <w:rsid w:val="1CF0718B"/>
    <w:rsid w:val="1CFC7225"/>
    <w:rsid w:val="1D0460DA"/>
    <w:rsid w:val="1D0B1216"/>
    <w:rsid w:val="1D1539C4"/>
    <w:rsid w:val="1D1722B1"/>
    <w:rsid w:val="1D1C76D4"/>
    <w:rsid w:val="1D1E2965"/>
    <w:rsid w:val="1D1F2F14"/>
    <w:rsid w:val="1D241D81"/>
    <w:rsid w:val="1D2B7B0B"/>
    <w:rsid w:val="1D314F5D"/>
    <w:rsid w:val="1D3249F5"/>
    <w:rsid w:val="1D3544E5"/>
    <w:rsid w:val="1D3B4453"/>
    <w:rsid w:val="1D4604A0"/>
    <w:rsid w:val="1D485652"/>
    <w:rsid w:val="1D563CCA"/>
    <w:rsid w:val="1D57445C"/>
    <w:rsid w:val="1D5C7CC4"/>
    <w:rsid w:val="1D632E00"/>
    <w:rsid w:val="1D6A20D8"/>
    <w:rsid w:val="1D6D41EF"/>
    <w:rsid w:val="1D7065FD"/>
    <w:rsid w:val="1D724738"/>
    <w:rsid w:val="1D752B34"/>
    <w:rsid w:val="1D7B207F"/>
    <w:rsid w:val="1D8D6E28"/>
    <w:rsid w:val="1D8E3BF5"/>
    <w:rsid w:val="1D900E67"/>
    <w:rsid w:val="1D9456B0"/>
    <w:rsid w:val="1D976F4E"/>
    <w:rsid w:val="1D9C3202"/>
    <w:rsid w:val="1DAC27BE"/>
    <w:rsid w:val="1DB61742"/>
    <w:rsid w:val="1DB8103A"/>
    <w:rsid w:val="1DC00253"/>
    <w:rsid w:val="1DC15D79"/>
    <w:rsid w:val="1DC37D43"/>
    <w:rsid w:val="1DCA028F"/>
    <w:rsid w:val="1DDD6BA9"/>
    <w:rsid w:val="1DE06B47"/>
    <w:rsid w:val="1DE63A32"/>
    <w:rsid w:val="1DEB53CD"/>
    <w:rsid w:val="1DF431F5"/>
    <w:rsid w:val="1DFB128B"/>
    <w:rsid w:val="1DFD64E3"/>
    <w:rsid w:val="1DFF2482"/>
    <w:rsid w:val="1E0345E3"/>
    <w:rsid w:val="1E0738A7"/>
    <w:rsid w:val="1E1422D2"/>
    <w:rsid w:val="1E1B75CE"/>
    <w:rsid w:val="1E1C2390"/>
    <w:rsid w:val="1E237E7E"/>
    <w:rsid w:val="1E2D1660"/>
    <w:rsid w:val="1E2D469C"/>
    <w:rsid w:val="1E385288"/>
    <w:rsid w:val="1E396257"/>
    <w:rsid w:val="1E3C465E"/>
    <w:rsid w:val="1E3F0AA6"/>
    <w:rsid w:val="1E4476CD"/>
    <w:rsid w:val="1E4A3E53"/>
    <w:rsid w:val="1E4A3FC0"/>
    <w:rsid w:val="1E4E3AB1"/>
    <w:rsid w:val="1E522E75"/>
    <w:rsid w:val="1E580DC1"/>
    <w:rsid w:val="1E591960"/>
    <w:rsid w:val="1E5B61CE"/>
    <w:rsid w:val="1E641BF9"/>
    <w:rsid w:val="1E652BA8"/>
    <w:rsid w:val="1E661B47"/>
    <w:rsid w:val="1E6A23CD"/>
    <w:rsid w:val="1E707ECB"/>
    <w:rsid w:val="1E751D37"/>
    <w:rsid w:val="1E77039E"/>
    <w:rsid w:val="1E832B63"/>
    <w:rsid w:val="1E845724"/>
    <w:rsid w:val="1E854FF8"/>
    <w:rsid w:val="1E86504C"/>
    <w:rsid w:val="1EA1723B"/>
    <w:rsid w:val="1EA30F61"/>
    <w:rsid w:val="1EA71413"/>
    <w:rsid w:val="1EAD7DE2"/>
    <w:rsid w:val="1EB2002F"/>
    <w:rsid w:val="1EB658BE"/>
    <w:rsid w:val="1EC93137"/>
    <w:rsid w:val="1ECE4BF1"/>
    <w:rsid w:val="1ED32208"/>
    <w:rsid w:val="1ED63AA6"/>
    <w:rsid w:val="1ED865BE"/>
    <w:rsid w:val="1EDA5128"/>
    <w:rsid w:val="1EEE0DF0"/>
    <w:rsid w:val="1F176598"/>
    <w:rsid w:val="1F182311"/>
    <w:rsid w:val="1F1D7927"/>
    <w:rsid w:val="1F26058A"/>
    <w:rsid w:val="1F271230"/>
    <w:rsid w:val="1F2D6070"/>
    <w:rsid w:val="1F332CA6"/>
    <w:rsid w:val="1F38650F"/>
    <w:rsid w:val="1F3A6F67"/>
    <w:rsid w:val="1F437284"/>
    <w:rsid w:val="1F460552"/>
    <w:rsid w:val="1F462BA1"/>
    <w:rsid w:val="1F4F29B7"/>
    <w:rsid w:val="1F511F82"/>
    <w:rsid w:val="1F5A46D7"/>
    <w:rsid w:val="1F5F1CED"/>
    <w:rsid w:val="1F5F550C"/>
    <w:rsid w:val="1F7C215B"/>
    <w:rsid w:val="1F807554"/>
    <w:rsid w:val="1F88428B"/>
    <w:rsid w:val="1F925C1F"/>
    <w:rsid w:val="1F9F20EA"/>
    <w:rsid w:val="1FA3607E"/>
    <w:rsid w:val="1FA45952"/>
    <w:rsid w:val="1FAA740D"/>
    <w:rsid w:val="1FB05EDC"/>
    <w:rsid w:val="1FB43DE7"/>
    <w:rsid w:val="1FB913FE"/>
    <w:rsid w:val="1FBC4A4A"/>
    <w:rsid w:val="1FBE6A14"/>
    <w:rsid w:val="1FC009DE"/>
    <w:rsid w:val="1FC47E35"/>
    <w:rsid w:val="1FCC468B"/>
    <w:rsid w:val="1FCE183D"/>
    <w:rsid w:val="1FD82270"/>
    <w:rsid w:val="1FDC4240"/>
    <w:rsid w:val="1FDC564F"/>
    <w:rsid w:val="1FE24047"/>
    <w:rsid w:val="1FE3647B"/>
    <w:rsid w:val="1FEE3EF7"/>
    <w:rsid w:val="1FEF3071"/>
    <w:rsid w:val="1FFC12EA"/>
    <w:rsid w:val="1FFE20B7"/>
    <w:rsid w:val="1FFF695C"/>
    <w:rsid w:val="20014B53"/>
    <w:rsid w:val="20052895"/>
    <w:rsid w:val="200563F1"/>
    <w:rsid w:val="200C3C23"/>
    <w:rsid w:val="20150C7D"/>
    <w:rsid w:val="201A2D1C"/>
    <w:rsid w:val="20215AB5"/>
    <w:rsid w:val="20250D05"/>
    <w:rsid w:val="2026530A"/>
    <w:rsid w:val="2027280B"/>
    <w:rsid w:val="20272E39"/>
    <w:rsid w:val="202820DF"/>
    <w:rsid w:val="202D37ED"/>
    <w:rsid w:val="20312AEB"/>
    <w:rsid w:val="20347D76"/>
    <w:rsid w:val="203770D9"/>
    <w:rsid w:val="203A51A7"/>
    <w:rsid w:val="203A6A0B"/>
    <w:rsid w:val="203B6335"/>
    <w:rsid w:val="2043583C"/>
    <w:rsid w:val="205C3A33"/>
    <w:rsid w:val="20621A95"/>
    <w:rsid w:val="20653333"/>
    <w:rsid w:val="206550E2"/>
    <w:rsid w:val="206C2914"/>
    <w:rsid w:val="206E1E82"/>
    <w:rsid w:val="20740615"/>
    <w:rsid w:val="20755AF0"/>
    <w:rsid w:val="20784E15"/>
    <w:rsid w:val="20846070"/>
    <w:rsid w:val="20857532"/>
    <w:rsid w:val="208F2F74"/>
    <w:rsid w:val="20983709"/>
    <w:rsid w:val="20A25B7C"/>
    <w:rsid w:val="20A7394C"/>
    <w:rsid w:val="20A74E31"/>
    <w:rsid w:val="20AA51EA"/>
    <w:rsid w:val="20B0050F"/>
    <w:rsid w:val="20B63B8F"/>
    <w:rsid w:val="20B91875"/>
    <w:rsid w:val="20BD63E7"/>
    <w:rsid w:val="20BD6CCC"/>
    <w:rsid w:val="20BF5AA4"/>
    <w:rsid w:val="20C0056A"/>
    <w:rsid w:val="20C067BC"/>
    <w:rsid w:val="20CB71D8"/>
    <w:rsid w:val="20CF4C51"/>
    <w:rsid w:val="20D364EF"/>
    <w:rsid w:val="20D64231"/>
    <w:rsid w:val="20E83230"/>
    <w:rsid w:val="20EA1A41"/>
    <w:rsid w:val="20EC5803"/>
    <w:rsid w:val="20EF2BFD"/>
    <w:rsid w:val="20F07B67"/>
    <w:rsid w:val="20F44A16"/>
    <w:rsid w:val="20F555B5"/>
    <w:rsid w:val="20F55779"/>
    <w:rsid w:val="20FA3A7C"/>
    <w:rsid w:val="20FC5D2A"/>
    <w:rsid w:val="20FD4772"/>
    <w:rsid w:val="21075FBA"/>
    <w:rsid w:val="21093CBF"/>
    <w:rsid w:val="210E45C5"/>
    <w:rsid w:val="211156FF"/>
    <w:rsid w:val="21337A9C"/>
    <w:rsid w:val="2139763B"/>
    <w:rsid w:val="213A656E"/>
    <w:rsid w:val="213F171D"/>
    <w:rsid w:val="21400E91"/>
    <w:rsid w:val="214174ED"/>
    <w:rsid w:val="21434918"/>
    <w:rsid w:val="2144119B"/>
    <w:rsid w:val="214B7D38"/>
    <w:rsid w:val="215565AE"/>
    <w:rsid w:val="21586079"/>
    <w:rsid w:val="215E639F"/>
    <w:rsid w:val="215F6BAA"/>
    <w:rsid w:val="21621461"/>
    <w:rsid w:val="216C1B85"/>
    <w:rsid w:val="21747CD2"/>
    <w:rsid w:val="217557F8"/>
    <w:rsid w:val="217B1461"/>
    <w:rsid w:val="21893DF4"/>
    <w:rsid w:val="21894314"/>
    <w:rsid w:val="218B1BCA"/>
    <w:rsid w:val="21902632"/>
    <w:rsid w:val="2190618E"/>
    <w:rsid w:val="219736C9"/>
    <w:rsid w:val="219739C1"/>
    <w:rsid w:val="219B39C7"/>
    <w:rsid w:val="21A25EC1"/>
    <w:rsid w:val="21A35416"/>
    <w:rsid w:val="21A812C1"/>
    <w:rsid w:val="21A97250"/>
    <w:rsid w:val="21AD0AEE"/>
    <w:rsid w:val="21B979E0"/>
    <w:rsid w:val="21BA6329"/>
    <w:rsid w:val="21BE19B9"/>
    <w:rsid w:val="21C127EB"/>
    <w:rsid w:val="21C244AB"/>
    <w:rsid w:val="21C4472F"/>
    <w:rsid w:val="21C44D90"/>
    <w:rsid w:val="21C85928"/>
    <w:rsid w:val="21C910B4"/>
    <w:rsid w:val="21CD1190"/>
    <w:rsid w:val="21D00F87"/>
    <w:rsid w:val="21D06ED2"/>
    <w:rsid w:val="21D20555"/>
    <w:rsid w:val="21D7200F"/>
    <w:rsid w:val="21DF0CC5"/>
    <w:rsid w:val="21DF3FDD"/>
    <w:rsid w:val="21E85FCA"/>
    <w:rsid w:val="21F46E37"/>
    <w:rsid w:val="21F65217"/>
    <w:rsid w:val="21F7620D"/>
    <w:rsid w:val="21FC3824"/>
    <w:rsid w:val="21FC6E36"/>
    <w:rsid w:val="22090649"/>
    <w:rsid w:val="220A5F40"/>
    <w:rsid w:val="220D5A31"/>
    <w:rsid w:val="22105FB5"/>
    <w:rsid w:val="221072CF"/>
    <w:rsid w:val="22121299"/>
    <w:rsid w:val="221729FA"/>
    <w:rsid w:val="22244B28"/>
    <w:rsid w:val="22266AF2"/>
    <w:rsid w:val="222D1C2F"/>
    <w:rsid w:val="2232322B"/>
    <w:rsid w:val="22341B77"/>
    <w:rsid w:val="22402F79"/>
    <w:rsid w:val="22572153"/>
    <w:rsid w:val="22574EFE"/>
    <w:rsid w:val="2264488C"/>
    <w:rsid w:val="22673393"/>
    <w:rsid w:val="226D462F"/>
    <w:rsid w:val="226F2A18"/>
    <w:rsid w:val="22723AE6"/>
    <w:rsid w:val="2275323C"/>
    <w:rsid w:val="227E248B"/>
    <w:rsid w:val="227E692E"/>
    <w:rsid w:val="228133C5"/>
    <w:rsid w:val="22823B5E"/>
    <w:rsid w:val="228850B7"/>
    <w:rsid w:val="22885BF9"/>
    <w:rsid w:val="228E6279"/>
    <w:rsid w:val="228F7C4F"/>
    <w:rsid w:val="229879F0"/>
    <w:rsid w:val="229B7A15"/>
    <w:rsid w:val="22A238FE"/>
    <w:rsid w:val="22A746D9"/>
    <w:rsid w:val="22A9674F"/>
    <w:rsid w:val="22B40E75"/>
    <w:rsid w:val="22BC5D17"/>
    <w:rsid w:val="22BF646D"/>
    <w:rsid w:val="22C07DB6"/>
    <w:rsid w:val="22C2681B"/>
    <w:rsid w:val="22CA6328"/>
    <w:rsid w:val="22CB5549"/>
    <w:rsid w:val="22D74DB9"/>
    <w:rsid w:val="22D8603F"/>
    <w:rsid w:val="22DB5B2F"/>
    <w:rsid w:val="22E26EBD"/>
    <w:rsid w:val="22EE4940"/>
    <w:rsid w:val="22F0182A"/>
    <w:rsid w:val="22F132C7"/>
    <w:rsid w:val="22F563A0"/>
    <w:rsid w:val="22FD7853"/>
    <w:rsid w:val="22FF7A6F"/>
    <w:rsid w:val="23016E57"/>
    <w:rsid w:val="23050980"/>
    <w:rsid w:val="23070FA7"/>
    <w:rsid w:val="231150AD"/>
    <w:rsid w:val="231177A3"/>
    <w:rsid w:val="231828DF"/>
    <w:rsid w:val="23185F22"/>
    <w:rsid w:val="23192CDB"/>
    <w:rsid w:val="231C0452"/>
    <w:rsid w:val="231F41F1"/>
    <w:rsid w:val="232A616E"/>
    <w:rsid w:val="23316C48"/>
    <w:rsid w:val="233314C7"/>
    <w:rsid w:val="23333275"/>
    <w:rsid w:val="233D1985"/>
    <w:rsid w:val="23425BAE"/>
    <w:rsid w:val="234436D4"/>
    <w:rsid w:val="234731C4"/>
    <w:rsid w:val="23492A98"/>
    <w:rsid w:val="23496F3C"/>
    <w:rsid w:val="234C2589"/>
    <w:rsid w:val="234F5BD5"/>
    <w:rsid w:val="23502C6C"/>
    <w:rsid w:val="23511F89"/>
    <w:rsid w:val="235A0D1F"/>
    <w:rsid w:val="236118E9"/>
    <w:rsid w:val="236930C6"/>
    <w:rsid w:val="23694EE9"/>
    <w:rsid w:val="236D6760"/>
    <w:rsid w:val="23713D9D"/>
    <w:rsid w:val="23727B73"/>
    <w:rsid w:val="2379410A"/>
    <w:rsid w:val="23865695"/>
    <w:rsid w:val="238705A1"/>
    <w:rsid w:val="239E7120"/>
    <w:rsid w:val="23A10B26"/>
    <w:rsid w:val="23A87387"/>
    <w:rsid w:val="23A91789"/>
    <w:rsid w:val="23AF2323"/>
    <w:rsid w:val="23B00D6A"/>
    <w:rsid w:val="23C14D25"/>
    <w:rsid w:val="23C92B4F"/>
    <w:rsid w:val="23CF684B"/>
    <w:rsid w:val="23D902C0"/>
    <w:rsid w:val="23DA2A9C"/>
    <w:rsid w:val="23DA5DE6"/>
    <w:rsid w:val="23E822B1"/>
    <w:rsid w:val="23F24EDE"/>
    <w:rsid w:val="23F416FC"/>
    <w:rsid w:val="23FA3D93"/>
    <w:rsid w:val="23FB76B9"/>
    <w:rsid w:val="23FC5D5D"/>
    <w:rsid w:val="23FC763B"/>
    <w:rsid w:val="23FD3AC2"/>
    <w:rsid w:val="23FF124B"/>
    <w:rsid w:val="23FF75FB"/>
    <w:rsid w:val="24003A9F"/>
    <w:rsid w:val="240655DE"/>
    <w:rsid w:val="24080C27"/>
    <w:rsid w:val="240C3EE1"/>
    <w:rsid w:val="24107F86"/>
    <w:rsid w:val="24165E61"/>
    <w:rsid w:val="241906BD"/>
    <w:rsid w:val="241C77B7"/>
    <w:rsid w:val="242552B4"/>
    <w:rsid w:val="24264234"/>
    <w:rsid w:val="243279D1"/>
    <w:rsid w:val="2439660D"/>
    <w:rsid w:val="245244EF"/>
    <w:rsid w:val="24561911"/>
    <w:rsid w:val="245B4A0F"/>
    <w:rsid w:val="24651B54"/>
    <w:rsid w:val="24661428"/>
    <w:rsid w:val="246A1D00"/>
    <w:rsid w:val="246A53BC"/>
    <w:rsid w:val="247026F4"/>
    <w:rsid w:val="247C302F"/>
    <w:rsid w:val="247D4AB1"/>
    <w:rsid w:val="248C6BB8"/>
    <w:rsid w:val="249064A5"/>
    <w:rsid w:val="24957DD5"/>
    <w:rsid w:val="249D7540"/>
    <w:rsid w:val="24AA3A0B"/>
    <w:rsid w:val="24AC7783"/>
    <w:rsid w:val="24AD2696"/>
    <w:rsid w:val="24B228BF"/>
    <w:rsid w:val="24B47D22"/>
    <w:rsid w:val="24BA63DB"/>
    <w:rsid w:val="24BE6297"/>
    <w:rsid w:val="24CA1191"/>
    <w:rsid w:val="24CD14A7"/>
    <w:rsid w:val="24D42836"/>
    <w:rsid w:val="24D64800"/>
    <w:rsid w:val="24DB32B6"/>
    <w:rsid w:val="24DB3BC4"/>
    <w:rsid w:val="24DD56B0"/>
    <w:rsid w:val="24E0567E"/>
    <w:rsid w:val="24E56F56"/>
    <w:rsid w:val="24EA02AB"/>
    <w:rsid w:val="24F00B4F"/>
    <w:rsid w:val="24F12100"/>
    <w:rsid w:val="24F133E8"/>
    <w:rsid w:val="24F66C50"/>
    <w:rsid w:val="24FA29B1"/>
    <w:rsid w:val="25011468"/>
    <w:rsid w:val="25056E93"/>
    <w:rsid w:val="2507251A"/>
    <w:rsid w:val="250C4069"/>
    <w:rsid w:val="250E5D48"/>
    <w:rsid w:val="25130BC6"/>
    <w:rsid w:val="251B66B7"/>
    <w:rsid w:val="25231FD5"/>
    <w:rsid w:val="25292B82"/>
    <w:rsid w:val="252964DC"/>
    <w:rsid w:val="252D66FD"/>
    <w:rsid w:val="253A2AB3"/>
    <w:rsid w:val="25476E87"/>
    <w:rsid w:val="254D6B89"/>
    <w:rsid w:val="2551032A"/>
    <w:rsid w:val="2552384A"/>
    <w:rsid w:val="25551BC9"/>
    <w:rsid w:val="25561143"/>
    <w:rsid w:val="25587434"/>
    <w:rsid w:val="255A45B0"/>
    <w:rsid w:val="255C2A9C"/>
    <w:rsid w:val="256767C9"/>
    <w:rsid w:val="2568096A"/>
    <w:rsid w:val="25733194"/>
    <w:rsid w:val="257638ED"/>
    <w:rsid w:val="25901034"/>
    <w:rsid w:val="259124D5"/>
    <w:rsid w:val="25A0096A"/>
    <w:rsid w:val="25A246E2"/>
    <w:rsid w:val="25B83F05"/>
    <w:rsid w:val="25BA5578"/>
    <w:rsid w:val="25BB3C89"/>
    <w:rsid w:val="25C04ADE"/>
    <w:rsid w:val="25C44658"/>
    <w:rsid w:val="25CA437B"/>
    <w:rsid w:val="25D32AED"/>
    <w:rsid w:val="25D836B3"/>
    <w:rsid w:val="25E02770"/>
    <w:rsid w:val="25E168A9"/>
    <w:rsid w:val="25E7577D"/>
    <w:rsid w:val="25E8295B"/>
    <w:rsid w:val="25EE433E"/>
    <w:rsid w:val="25F85512"/>
    <w:rsid w:val="25F969F8"/>
    <w:rsid w:val="260B7449"/>
    <w:rsid w:val="26127ABA"/>
    <w:rsid w:val="26150C6D"/>
    <w:rsid w:val="261538C2"/>
    <w:rsid w:val="26215F4F"/>
    <w:rsid w:val="262275D1"/>
    <w:rsid w:val="26230386"/>
    <w:rsid w:val="2623053C"/>
    <w:rsid w:val="262F5BC1"/>
    <w:rsid w:val="26310FE6"/>
    <w:rsid w:val="2633152B"/>
    <w:rsid w:val="26355556"/>
    <w:rsid w:val="2635758C"/>
    <w:rsid w:val="263E265D"/>
    <w:rsid w:val="264054F6"/>
    <w:rsid w:val="264659B5"/>
    <w:rsid w:val="26485289"/>
    <w:rsid w:val="264942D3"/>
    <w:rsid w:val="264B2324"/>
    <w:rsid w:val="264C6538"/>
    <w:rsid w:val="264E443C"/>
    <w:rsid w:val="2657371E"/>
    <w:rsid w:val="26631158"/>
    <w:rsid w:val="2663431E"/>
    <w:rsid w:val="267267AA"/>
    <w:rsid w:val="26797620"/>
    <w:rsid w:val="267B5F8E"/>
    <w:rsid w:val="267E0CAB"/>
    <w:rsid w:val="268266AD"/>
    <w:rsid w:val="26833001"/>
    <w:rsid w:val="26920BFA"/>
    <w:rsid w:val="26955FF5"/>
    <w:rsid w:val="269E30FB"/>
    <w:rsid w:val="26A4077D"/>
    <w:rsid w:val="26A61FB0"/>
    <w:rsid w:val="26A86D7E"/>
    <w:rsid w:val="26AA7CF2"/>
    <w:rsid w:val="26B26BA7"/>
    <w:rsid w:val="26B57A9E"/>
    <w:rsid w:val="26BB5A5B"/>
    <w:rsid w:val="26BE554B"/>
    <w:rsid w:val="26BE763B"/>
    <w:rsid w:val="26C002DA"/>
    <w:rsid w:val="26C0493F"/>
    <w:rsid w:val="26C22C59"/>
    <w:rsid w:val="26C358C3"/>
    <w:rsid w:val="26CA3EF0"/>
    <w:rsid w:val="26CC5EBA"/>
    <w:rsid w:val="26CD578F"/>
    <w:rsid w:val="26D22DA5"/>
    <w:rsid w:val="26DF2689"/>
    <w:rsid w:val="26E50978"/>
    <w:rsid w:val="26E8081A"/>
    <w:rsid w:val="26E91355"/>
    <w:rsid w:val="26EA00EF"/>
    <w:rsid w:val="26EC030B"/>
    <w:rsid w:val="26F37BD8"/>
    <w:rsid w:val="26FB62F7"/>
    <w:rsid w:val="26FD2314"/>
    <w:rsid w:val="26FF6A0B"/>
    <w:rsid w:val="270537D9"/>
    <w:rsid w:val="270C03E2"/>
    <w:rsid w:val="270C4FC5"/>
    <w:rsid w:val="270F7969"/>
    <w:rsid w:val="27165388"/>
    <w:rsid w:val="27167136"/>
    <w:rsid w:val="27233601"/>
    <w:rsid w:val="27275C00"/>
    <w:rsid w:val="27365875"/>
    <w:rsid w:val="273677D8"/>
    <w:rsid w:val="273A72C8"/>
    <w:rsid w:val="27455C6D"/>
    <w:rsid w:val="27476ED0"/>
    <w:rsid w:val="274F0899"/>
    <w:rsid w:val="27544FA9"/>
    <w:rsid w:val="2762237B"/>
    <w:rsid w:val="27642706"/>
    <w:rsid w:val="27644345"/>
    <w:rsid w:val="27684462"/>
    <w:rsid w:val="276E2ACE"/>
    <w:rsid w:val="27716366"/>
    <w:rsid w:val="27734657"/>
    <w:rsid w:val="27767BD4"/>
    <w:rsid w:val="277A3B68"/>
    <w:rsid w:val="277C40BD"/>
    <w:rsid w:val="277D0F63"/>
    <w:rsid w:val="27840543"/>
    <w:rsid w:val="278422F1"/>
    <w:rsid w:val="278A4DF4"/>
    <w:rsid w:val="278E13AB"/>
    <w:rsid w:val="27906EE8"/>
    <w:rsid w:val="27962024"/>
    <w:rsid w:val="279844D8"/>
    <w:rsid w:val="279B763B"/>
    <w:rsid w:val="27A056B0"/>
    <w:rsid w:val="27A83832"/>
    <w:rsid w:val="27B029EF"/>
    <w:rsid w:val="27B54BA0"/>
    <w:rsid w:val="27B575B2"/>
    <w:rsid w:val="27B8253B"/>
    <w:rsid w:val="27B84691"/>
    <w:rsid w:val="27B97CFB"/>
    <w:rsid w:val="27C160FB"/>
    <w:rsid w:val="27C72271"/>
    <w:rsid w:val="27CF4492"/>
    <w:rsid w:val="27D86AE1"/>
    <w:rsid w:val="27E47999"/>
    <w:rsid w:val="27E50F81"/>
    <w:rsid w:val="27E51136"/>
    <w:rsid w:val="27E54BC2"/>
    <w:rsid w:val="27E965F8"/>
    <w:rsid w:val="27F03715"/>
    <w:rsid w:val="27F6425C"/>
    <w:rsid w:val="27FE55BF"/>
    <w:rsid w:val="280777BA"/>
    <w:rsid w:val="280F2F92"/>
    <w:rsid w:val="281178FD"/>
    <w:rsid w:val="282615FA"/>
    <w:rsid w:val="282910EA"/>
    <w:rsid w:val="282A31F1"/>
    <w:rsid w:val="282D36E8"/>
    <w:rsid w:val="282E4323"/>
    <w:rsid w:val="28304227"/>
    <w:rsid w:val="283042CA"/>
    <w:rsid w:val="283122A8"/>
    <w:rsid w:val="2832082A"/>
    <w:rsid w:val="28394B73"/>
    <w:rsid w:val="283A50A6"/>
    <w:rsid w:val="283E4ED3"/>
    <w:rsid w:val="28414686"/>
    <w:rsid w:val="284D5A9D"/>
    <w:rsid w:val="28620159"/>
    <w:rsid w:val="28690F59"/>
    <w:rsid w:val="286B525F"/>
    <w:rsid w:val="28722A91"/>
    <w:rsid w:val="28771E56"/>
    <w:rsid w:val="287B7B98"/>
    <w:rsid w:val="2886146E"/>
    <w:rsid w:val="288B3B53"/>
    <w:rsid w:val="288B6CD2"/>
    <w:rsid w:val="28930C7B"/>
    <w:rsid w:val="28983C59"/>
    <w:rsid w:val="28AB23FE"/>
    <w:rsid w:val="28B16468"/>
    <w:rsid w:val="28B212D8"/>
    <w:rsid w:val="28B44E58"/>
    <w:rsid w:val="28B60B0F"/>
    <w:rsid w:val="28C03598"/>
    <w:rsid w:val="28C13C48"/>
    <w:rsid w:val="28C4406E"/>
    <w:rsid w:val="28CD64C9"/>
    <w:rsid w:val="28CE5BC0"/>
    <w:rsid w:val="28D64DCE"/>
    <w:rsid w:val="28DC114A"/>
    <w:rsid w:val="28E521EF"/>
    <w:rsid w:val="28E62B38"/>
    <w:rsid w:val="28EA2F04"/>
    <w:rsid w:val="28EB0C2F"/>
    <w:rsid w:val="28EC16F7"/>
    <w:rsid w:val="28FA4F22"/>
    <w:rsid w:val="28FB3ED4"/>
    <w:rsid w:val="2900009D"/>
    <w:rsid w:val="290A5C6F"/>
    <w:rsid w:val="290E30C3"/>
    <w:rsid w:val="2914146A"/>
    <w:rsid w:val="291476A5"/>
    <w:rsid w:val="29254939"/>
    <w:rsid w:val="292A6EC8"/>
    <w:rsid w:val="292C0E92"/>
    <w:rsid w:val="292D2EFA"/>
    <w:rsid w:val="29355251"/>
    <w:rsid w:val="29373393"/>
    <w:rsid w:val="29420625"/>
    <w:rsid w:val="294921DF"/>
    <w:rsid w:val="294C297E"/>
    <w:rsid w:val="294F2DD3"/>
    <w:rsid w:val="29516821"/>
    <w:rsid w:val="29564161"/>
    <w:rsid w:val="2959155B"/>
    <w:rsid w:val="295E4DC4"/>
    <w:rsid w:val="296074BF"/>
    <w:rsid w:val="2962248F"/>
    <w:rsid w:val="296A5517"/>
    <w:rsid w:val="296E71C5"/>
    <w:rsid w:val="29785E86"/>
    <w:rsid w:val="297A7E50"/>
    <w:rsid w:val="297C2ABA"/>
    <w:rsid w:val="29820AB2"/>
    <w:rsid w:val="29894A4B"/>
    <w:rsid w:val="298C36DF"/>
    <w:rsid w:val="298D27DC"/>
    <w:rsid w:val="29995DFC"/>
    <w:rsid w:val="299A08C7"/>
    <w:rsid w:val="299E0557"/>
    <w:rsid w:val="29A50C45"/>
    <w:rsid w:val="29A65A75"/>
    <w:rsid w:val="29AF0534"/>
    <w:rsid w:val="29B21197"/>
    <w:rsid w:val="29B844D4"/>
    <w:rsid w:val="29BB2501"/>
    <w:rsid w:val="29C5361A"/>
    <w:rsid w:val="29CE019B"/>
    <w:rsid w:val="29CE021D"/>
    <w:rsid w:val="29D85AED"/>
    <w:rsid w:val="29DC62E2"/>
    <w:rsid w:val="29DF094E"/>
    <w:rsid w:val="29E03A2B"/>
    <w:rsid w:val="29E34941"/>
    <w:rsid w:val="29EA7630"/>
    <w:rsid w:val="29F04FFF"/>
    <w:rsid w:val="29F251DE"/>
    <w:rsid w:val="29F41C21"/>
    <w:rsid w:val="29F5733B"/>
    <w:rsid w:val="29FE3744"/>
    <w:rsid w:val="2A0609B2"/>
    <w:rsid w:val="2A073006"/>
    <w:rsid w:val="2A0B6CFA"/>
    <w:rsid w:val="2A0D1C4E"/>
    <w:rsid w:val="2A0D1E04"/>
    <w:rsid w:val="2A0E120D"/>
    <w:rsid w:val="2A1758D5"/>
    <w:rsid w:val="2A247DBB"/>
    <w:rsid w:val="2A2B739C"/>
    <w:rsid w:val="2A2C49D8"/>
    <w:rsid w:val="2A3049B2"/>
    <w:rsid w:val="2A3F341C"/>
    <w:rsid w:val="2A4346E5"/>
    <w:rsid w:val="2A47392C"/>
    <w:rsid w:val="2A473AAA"/>
    <w:rsid w:val="2A47477C"/>
    <w:rsid w:val="2A4A0BE6"/>
    <w:rsid w:val="2A4A7DC1"/>
    <w:rsid w:val="2A4F43BB"/>
    <w:rsid w:val="2A50295E"/>
    <w:rsid w:val="2A5319FD"/>
    <w:rsid w:val="2A540E61"/>
    <w:rsid w:val="2A5B5B5E"/>
    <w:rsid w:val="2A5C071E"/>
    <w:rsid w:val="2A5E11B3"/>
    <w:rsid w:val="2A6033D4"/>
    <w:rsid w:val="2A614B6C"/>
    <w:rsid w:val="2A657603"/>
    <w:rsid w:val="2A6C52BE"/>
    <w:rsid w:val="2A785209"/>
    <w:rsid w:val="2A7A3E7F"/>
    <w:rsid w:val="2A7C6C68"/>
    <w:rsid w:val="2A7D5A6F"/>
    <w:rsid w:val="2A8108DE"/>
    <w:rsid w:val="2A9D0851"/>
    <w:rsid w:val="2A9E652F"/>
    <w:rsid w:val="2AA21442"/>
    <w:rsid w:val="2AA34A80"/>
    <w:rsid w:val="2AA92E6B"/>
    <w:rsid w:val="2AAB2C02"/>
    <w:rsid w:val="2AAC7F06"/>
    <w:rsid w:val="2AB6495A"/>
    <w:rsid w:val="2AB949A8"/>
    <w:rsid w:val="2ABA5D17"/>
    <w:rsid w:val="2ABC4498"/>
    <w:rsid w:val="2ABC51A5"/>
    <w:rsid w:val="2ABD578D"/>
    <w:rsid w:val="2ABE5B1A"/>
    <w:rsid w:val="2ABF7AE4"/>
    <w:rsid w:val="2AC5334C"/>
    <w:rsid w:val="2AC86999"/>
    <w:rsid w:val="2AD410C5"/>
    <w:rsid w:val="2AD52E64"/>
    <w:rsid w:val="2ADE297A"/>
    <w:rsid w:val="2ADF135E"/>
    <w:rsid w:val="2AE23476"/>
    <w:rsid w:val="2AE31A25"/>
    <w:rsid w:val="2AE52A61"/>
    <w:rsid w:val="2AE5579D"/>
    <w:rsid w:val="2AE92F72"/>
    <w:rsid w:val="2AEB77C9"/>
    <w:rsid w:val="2AF56183"/>
    <w:rsid w:val="2AF725F5"/>
    <w:rsid w:val="2B013C59"/>
    <w:rsid w:val="2B0674C1"/>
    <w:rsid w:val="2B083239"/>
    <w:rsid w:val="2B0B1774"/>
    <w:rsid w:val="2B0D0850"/>
    <w:rsid w:val="2B0F3CBA"/>
    <w:rsid w:val="2B17178A"/>
    <w:rsid w:val="2B181536"/>
    <w:rsid w:val="2B2273D9"/>
    <w:rsid w:val="2B256796"/>
    <w:rsid w:val="2B30453E"/>
    <w:rsid w:val="2B32564C"/>
    <w:rsid w:val="2B32641C"/>
    <w:rsid w:val="2B330D0F"/>
    <w:rsid w:val="2B342280"/>
    <w:rsid w:val="2B364A98"/>
    <w:rsid w:val="2B395AE8"/>
    <w:rsid w:val="2B3E6C5B"/>
    <w:rsid w:val="2B4104F9"/>
    <w:rsid w:val="2B4270DD"/>
    <w:rsid w:val="2B4F286E"/>
    <w:rsid w:val="2B536BAA"/>
    <w:rsid w:val="2B5621F6"/>
    <w:rsid w:val="2B59251B"/>
    <w:rsid w:val="2B597F39"/>
    <w:rsid w:val="2B5D13AB"/>
    <w:rsid w:val="2B5E554F"/>
    <w:rsid w:val="2B722069"/>
    <w:rsid w:val="2B722141"/>
    <w:rsid w:val="2B770F05"/>
    <w:rsid w:val="2B7D34A8"/>
    <w:rsid w:val="2B805104"/>
    <w:rsid w:val="2B85488A"/>
    <w:rsid w:val="2B854CEE"/>
    <w:rsid w:val="2B880C74"/>
    <w:rsid w:val="2B88534B"/>
    <w:rsid w:val="2B885BD7"/>
    <w:rsid w:val="2B962CCA"/>
    <w:rsid w:val="2B977972"/>
    <w:rsid w:val="2B9D2AF6"/>
    <w:rsid w:val="2BA271EA"/>
    <w:rsid w:val="2BA46C8F"/>
    <w:rsid w:val="2BA80578"/>
    <w:rsid w:val="2BB31E55"/>
    <w:rsid w:val="2BB37649"/>
    <w:rsid w:val="2BB533C1"/>
    <w:rsid w:val="2BBF0B82"/>
    <w:rsid w:val="2BC45245"/>
    <w:rsid w:val="2BC51EC5"/>
    <w:rsid w:val="2BCD78C0"/>
    <w:rsid w:val="2BD01FBD"/>
    <w:rsid w:val="2BD650E5"/>
    <w:rsid w:val="2BD77907"/>
    <w:rsid w:val="2BEC5442"/>
    <w:rsid w:val="2BEF51D6"/>
    <w:rsid w:val="2BF437BD"/>
    <w:rsid w:val="2BF65788"/>
    <w:rsid w:val="2BFF6617"/>
    <w:rsid w:val="2C0916E4"/>
    <w:rsid w:val="2C165AE7"/>
    <w:rsid w:val="2C1F083A"/>
    <w:rsid w:val="2C1F6A8C"/>
    <w:rsid w:val="2C286B06"/>
    <w:rsid w:val="2C2E295F"/>
    <w:rsid w:val="2C2F3578"/>
    <w:rsid w:val="2C3342E6"/>
    <w:rsid w:val="2C35005E"/>
    <w:rsid w:val="2C38455D"/>
    <w:rsid w:val="2C3A38C6"/>
    <w:rsid w:val="2C3B13EC"/>
    <w:rsid w:val="2C5030EA"/>
    <w:rsid w:val="2C534988"/>
    <w:rsid w:val="2C5876E7"/>
    <w:rsid w:val="2C5A31D9"/>
    <w:rsid w:val="2C620039"/>
    <w:rsid w:val="2C62428A"/>
    <w:rsid w:val="2C6426F1"/>
    <w:rsid w:val="2C6C6E55"/>
    <w:rsid w:val="2C701FB1"/>
    <w:rsid w:val="2C712DC0"/>
    <w:rsid w:val="2C7C3EDF"/>
    <w:rsid w:val="2C846846"/>
    <w:rsid w:val="2C9169BC"/>
    <w:rsid w:val="2C9D5C03"/>
    <w:rsid w:val="2CA15BD1"/>
    <w:rsid w:val="2CA451E4"/>
    <w:rsid w:val="2CA60F5C"/>
    <w:rsid w:val="2CA64B3B"/>
    <w:rsid w:val="2CA90A4C"/>
    <w:rsid w:val="2CAB45AB"/>
    <w:rsid w:val="2CAF4979"/>
    <w:rsid w:val="2CB76337"/>
    <w:rsid w:val="2CBB6EF5"/>
    <w:rsid w:val="2CC3523C"/>
    <w:rsid w:val="2CC91630"/>
    <w:rsid w:val="2CD72A9E"/>
    <w:rsid w:val="2CD81B3C"/>
    <w:rsid w:val="2CDA29B3"/>
    <w:rsid w:val="2CE05F21"/>
    <w:rsid w:val="2CE101E6"/>
    <w:rsid w:val="2CE4026B"/>
    <w:rsid w:val="2CE5533E"/>
    <w:rsid w:val="2CE90E48"/>
    <w:rsid w:val="2CEA2186"/>
    <w:rsid w:val="2CF47017"/>
    <w:rsid w:val="2CF6225B"/>
    <w:rsid w:val="2CFE66A2"/>
    <w:rsid w:val="2D033DF6"/>
    <w:rsid w:val="2D043452"/>
    <w:rsid w:val="2D0839C4"/>
    <w:rsid w:val="2D1050E9"/>
    <w:rsid w:val="2D194E5C"/>
    <w:rsid w:val="2D234D52"/>
    <w:rsid w:val="2D252283"/>
    <w:rsid w:val="2D2C76B3"/>
    <w:rsid w:val="2D3172B9"/>
    <w:rsid w:val="2D3227EF"/>
    <w:rsid w:val="2D376058"/>
    <w:rsid w:val="2D377E06"/>
    <w:rsid w:val="2D395F46"/>
    <w:rsid w:val="2D3E1194"/>
    <w:rsid w:val="2D4452D1"/>
    <w:rsid w:val="2D4744ED"/>
    <w:rsid w:val="2D483DC1"/>
    <w:rsid w:val="2D4B565F"/>
    <w:rsid w:val="2D4B5A24"/>
    <w:rsid w:val="2D614E83"/>
    <w:rsid w:val="2D687FBF"/>
    <w:rsid w:val="2D6A3D37"/>
    <w:rsid w:val="2D7828F8"/>
    <w:rsid w:val="2D796670"/>
    <w:rsid w:val="2D833E1B"/>
    <w:rsid w:val="2D856BEC"/>
    <w:rsid w:val="2D8C2630"/>
    <w:rsid w:val="2D9D3448"/>
    <w:rsid w:val="2DA03BFD"/>
    <w:rsid w:val="2DA84860"/>
    <w:rsid w:val="2DAD00C8"/>
    <w:rsid w:val="2DB800CF"/>
    <w:rsid w:val="2DBB27E5"/>
    <w:rsid w:val="2DBE5C85"/>
    <w:rsid w:val="2DBE7C66"/>
    <w:rsid w:val="2DC071FE"/>
    <w:rsid w:val="2DC23B73"/>
    <w:rsid w:val="2DC7118A"/>
    <w:rsid w:val="2DD04C09"/>
    <w:rsid w:val="2DD218DC"/>
    <w:rsid w:val="2DDB4C35"/>
    <w:rsid w:val="2DDC55FA"/>
    <w:rsid w:val="2DE55AB4"/>
    <w:rsid w:val="2DE55E6C"/>
    <w:rsid w:val="2DE81B39"/>
    <w:rsid w:val="2E0940C9"/>
    <w:rsid w:val="2E0A0E72"/>
    <w:rsid w:val="2E1343CF"/>
    <w:rsid w:val="2E1C5DF1"/>
    <w:rsid w:val="2E20089A"/>
    <w:rsid w:val="2E204D3E"/>
    <w:rsid w:val="2E222864"/>
    <w:rsid w:val="2E254FB4"/>
    <w:rsid w:val="2E2E04D2"/>
    <w:rsid w:val="2E3305CD"/>
    <w:rsid w:val="2E3A7BAD"/>
    <w:rsid w:val="2E3D3B3A"/>
    <w:rsid w:val="2E3F3416"/>
    <w:rsid w:val="2E47051C"/>
    <w:rsid w:val="2E50117F"/>
    <w:rsid w:val="2E530C6F"/>
    <w:rsid w:val="2E5365C6"/>
    <w:rsid w:val="2E5A0250"/>
    <w:rsid w:val="2E6A7D67"/>
    <w:rsid w:val="2E6E7857"/>
    <w:rsid w:val="2E786DB1"/>
    <w:rsid w:val="2E8157DC"/>
    <w:rsid w:val="2E880375"/>
    <w:rsid w:val="2E89643F"/>
    <w:rsid w:val="2E8A3797"/>
    <w:rsid w:val="2E8F74A9"/>
    <w:rsid w:val="2E9279E9"/>
    <w:rsid w:val="2E982B26"/>
    <w:rsid w:val="2EA27501"/>
    <w:rsid w:val="2EA47D89"/>
    <w:rsid w:val="2EA944D2"/>
    <w:rsid w:val="2EA97D83"/>
    <w:rsid w:val="2EAE2A4C"/>
    <w:rsid w:val="2EB07208"/>
    <w:rsid w:val="2EB15996"/>
    <w:rsid w:val="2EB84F76"/>
    <w:rsid w:val="2EC102CF"/>
    <w:rsid w:val="2ED022C0"/>
    <w:rsid w:val="2ED27DE6"/>
    <w:rsid w:val="2ED55B28"/>
    <w:rsid w:val="2ED85923"/>
    <w:rsid w:val="2EDB23D1"/>
    <w:rsid w:val="2EE05A21"/>
    <w:rsid w:val="2EE1150A"/>
    <w:rsid w:val="2EEE2746"/>
    <w:rsid w:val="2EF00F19"/>
    <w:rsid w:val="2EF0219C"/>
    <w:rsid w:val="2F120B2A"/>
    <w:rsid w:val="2F1403FE"/>
    <w:rsid w:val="2F1856C3"/>
    <w:rsid w:val="2F1C6FCF"/>
    <w:rsid w:val="2F1D6D82"/>
    <w:rsid w:val="2F305B22"/>
    <w:rsid w:val="2F3842D0"/>
    <w:rsid w:val="2F3B32FA"/>
    <w:rsid w:val="2F3E36CD"/>
    <w:rsid w:val="2F4A4EE0"/>
    <w:rsid w:val="2F4C5D0E"/>
    <w:rsid w:val="2F4D56BE"/>
    <w:rsid w:val="2F512F41"/>
    <w:rsid w:val="2F546A4D"/>
    <w:rsid w:val="2F57098B"/>
    <w:rsid w:val="2F587352"/>
    <w:rsid w:val="2F593AD5"/>
    <w:rsid w:val="2F650C5A"/>
    <w:rsid w:val="2F6F22FA"/>
    <w:rsid w:val="2F715851"/>
    <w:rsid w:val="2F73653C"/>
    <w:rsid w:val="2F827A5E"/>
    <w:rsid w:val="2F83752B"/>
    <w:rsid w:val="2F875074"/>
    <w:rsid w:val="2F8A246F"/>
    <w:rsid w:val="2F9217E7"/>
    <w:rsid w:val="2FA01C92"/>
    <w:rsid w:val="2FA21EAE"/>
    <w:rsid w:val="2FA379D4"/>
    <w:rsid w:val="2FA572A9"/>
    <w:rsid w:val="2FA7156F"/>
    <w:rsid w:val="2FA774C5"/>
    <w:rsid w:val="2FAF0127"/>
    <w:rsid w:val="2FB13E9F"/>
    <w:rsid w:val="2FBC1D2B"/>
    <w:rsid w:val="2FBC4F11"/>
    <w:rsid w:val="2FBE7790"/>
    <w:rsid w:val="2FC53494"/>
    <w:rsid w:val="2FC53897"/>
    <w:rsid w:val="2FCD159E"/>
    <w:rsid w:val="2FCF2577"/>
    <w:rsid w:val="2FD1009E"/>
    <w:rsid w:val="2FEC4A36"/>
    <w:rsid w:val="2FEC64BE"/>
    <w:rsid w:val="2FED1556"/>
    <w:rsid w:val="2FF63FA8"/>
    <w:rsid w:val="2FF823FB"/>
    <w:rsid w:val="300264A9"/>
    <w:rsid w:val="300D4E4E"/>
    <w:rsid w:val="301306B6"/>
    <w:rsid w:val="30147CC8"/>
    <w:rsid w:val="30157B85"/>
    <w:rsid w:val="301601A6"/>
    <w:rsid w:val="30163A3F"/>
    <w:rsid w:val="30187880"/>
    <w:rsid w:val="301F409E"/>
    <w:rsid w:val="30393E95"/>
    <w:rsid w:val="30406FD1"/>
    <w:rsid w:val="30427B90"/>
    <w:rsid w:val="304765B2"/>
    <w:rsid w:val="304C5976"/>
    <w:rsid w:val="30521C16"/>
    <w:rsid w:val="30550CCF"/>
    <w:rsid w:val="305A353B"/>
    <w:rsid w:val="305B3BBD"/>
    <w:rsid w:val="305D28EF"/>
    <w:rsid w:val="305F38FB"/>
    <w:rsid w:val="30603B8E"/>
    <w:rsid w:val="3069482A"/>
    <w:rsid w:val="306E7FE2"/>
    <w:rsid w:val="30751371"/>
    <w:rsid w:val="30764E18"/>
    <w:rsid w:val="30790135"/>
    <w:rsid w:val="307B625B"/>
    <w:rsid w:val="307D1FD3"/>
    <w:rsid w:val="30875B6C"/>
    <w:rsid w:val="308C054E"/>
    <w:rsid w:val="308C20BB"/>
    <w:rsid w:val="308E5F8F"/>
    <w:rsid w:val="309E452C"/>
    <w:rsid w:val="30A47B90"/>
    <w:rsid w:val="30B0159E"/>
    <w:rsid w:val="30B44927"/>
    <w:rsid w:val="30B654E5"/>
    <w:rsid w:val="30B860DB"/>
    <w:rsid w:val="30BA3228"/>
    <w:rsid w:val="30BE6C79"/>
    <w:rsid w:val="30C92998"/>
    <w:rsid w:val="30D330AB"/>
    <w:rsid w:val="30E06ACA"/>
    <w:rsid w:val="30E70735"/>
    <w:rsid w:val="30EB33E1"/>
    <w:rsid w:val="30F66A79"/>
    <w:rsid w:val="30FC55EE"/>
    <w:rsid w:val="30FC739C"/>
    <w:rsid w:val="311346E6"/>
    <w:rsid w:val="311C584B"/>
    <w:rsid w:val="312566B9"/>
    <w:rsid w:val="31275E90"/>
    <w:rsid w:val="312A5215"/>
    <w:rsid w:val="312B5ED3"/>
    <w:rsid w:val="312D57A8"/>
    <w:rsid w:val="313A7EC4"/>
    <w:rsid w:val="31402948"/>
    <w:rsid w:val="31453715"/>
    <w:rsid w:val="314D6E54"/>
    <w:rsid w:val="314F1BC2"/>
    <w:rsid w:val="315C608D"/>
    <w:rsid w:val="315F57E8"/>
    <w:rsid w:val="316D029A"/>
    <w:rsid w:val="316D188C"/>
    <w:rsid w:val="316F5BA4"/>
    <w:rsid w:val="31701B38"/>
    <w:rsid w:val="3175714F"/>
    <w:rsid w:val="3176279D"/>
    <w:rsid w:val="31794E91"/>
    <w:rsid w:val="318168E7"/>
    <w:rsid w:val="318765DF"/>
    <w:rsid w:val="31886E82"/>
    <w:rsid w:val="318B0720"/>
    <w:rsid w:val="318E3C80"/>
    <w:rsid w:val="31945827"/>
    <w:rsid w:val="319B288F"/>
    <w:rsid w:val="31A43590"/>
    <w:rsid w:val="31AE34DE"/>
    <w:rsid w:val="31B371B6"/>
    <w:rsid w:val="31B9528D"/>
    <w:rsid w:val="31BB7257"/>
    <w:rsid w:val="31CB6DB2"/>
    <w:rsid w:val="31CD6F8B"/>
    <w:rsid w:val="31CE2772"/>
    <w:rsid w:val="31D200FD"/>
    <w:rsid w:val="31D67624"/>
    <w:rsid w:val="31D75713"/>
    <w:rsid w:val="31DB3455"/>
    <w:rsid w:val="31E63BA8"/>
    <w:rsid w:val="31F167D5"/>
    <w:rsid w:val="31F75EFF"/>
    <w:rsid w:val="31F97D80"/>
    <w:rsid w:val="31FA1DA0"/>
    <w:rsid w:val="31FB7654"/>
    <w:rsid w:val="31FF4887"/>
    <w:rsid w:val="320274E7"/>
    <w:rsid w:val="32035938"/>
    <w:rsid w:val="32051053"/>
    <w:rsid w:val="320A5AE9"/>
    <w:rsid w:val="32130E41"/>
    <w:rsid w:val="321610B2"/>
    <w:rsid w:val="321D6FE5"/>
    <w:rsid w:val="32250B75"/>
    <w:rsid w:val="32263D45"/>
    <w:rsid w:val="3227669B"/>
    <w:rsid w:val="32291420"/>
    <w:rsid w:val="322E5C7B"/>
    <w:rsid w:val="32356A97"/>
    <w:rsid w:val="3240150B"/>
    <w:rsid w:val="32463124"/>
    <w:rsid w:val="324E499A"/>
    <w:rsid w:val="324F1E45"/>
    <w:rsid w:val="3251196A"/>
    <w:rsid w:val="325D3E6B"/>
    <w:rsid w:val="325F1EA9"/>
    <w:rsid w:val="3260395B"/>
    <w:rsid w:val="3267118D"/>
    <w:rsid w:val="32690A61"/>
    <w:rsid w:val="3276317E"/>
    <w:rsid w:val="32817D7B"/>
    <w:rsid w:val="32847649"/>
    <w:rsid w:val="328855E4"/>
    <w:rsid w:val="328C72C2"/>
    <w:rsid w:val="32944A6A"/>
    <w:rsid w:val="329456C3"/>
    <w:rsid w:val="32957AA8"/>
    <w:rsid w:val="329A50BF"/>
    <w:rsid w:val="32A81D43"/>
    <w:rsid w:val="32A95302"/>
    <w:rsid w:val="32B17973"/>
    <w:rsid w:val="32B31CDC"/>
    <w:rsid w:val="32B36180"/>
    <w:rsid w:val="32BB5035"/>
    <w:rsid w:val="32C1089D"/>
    <w:rsid w:val="32C12C2B"/>
    <w:rsid w:val="32C57C62"/>
    <w:rsid w:val="32C95A8C"/>
    <w:rsid w:val="32CE6445"/>
    <w:rsid w:val="32D3237F"/>
    <w:rsid w:val="32DC0EB2"/>
    <w:rsid w:val="32E71A40"/>
    <w:rsid w:val="32EB591A"/>
    <w:rsid w:val="32EB76C8"/>
    <w:rsid w:val="32EC51EE"/>
    <w:rsid w:val="32F02B12"/>
    <w:rsid w:val="32F742BF"/>
    <w:rsid w:val="33041FD3"/>
    <w:rsid w:val="33087C08"/>
    <w:rsid w:val="330F28A5"/>
    <w:rsid w:val="33182487"/>
    <w:rsid w:val="331D35FA"/>
    <w:rsid w:val="33240E2C"/>
    <w:rsid w:val="33244988"/>
    <w:rsid w:val="3328091C"/>
    <w:rsid w:val="3330332D"/>
    <w:rsid w:val="33357C1C"/>
    <w:rsid w:val="333948D8"/>
    <w:rsid w:val="33436D97"/>
    <w:rsid w:val="33484B1B"/>
    <w:rsid w:val="33501C21"/>
    <w:rsid w:val="33515C8A"/>
    <w:rsid w:val="33524AF4"/>
    <w:rsid w:val="33524ECE"/>
    <w:rsid w:val="33525999"/>
    <w:rsid w:val="33590DE0"/>
    <w:rsid w:val="335B3615"/>
    <w:rsid w:val="335F3C12"/>
    <w:rsid w:val="33605348"/>
    <w:rsid w:val="33631D5F"/>
    <w:rsid w:val="336743E3"/>
    <w:rsid w:val="33701575"/>
    <w:rsid w:val="33727DEA"/>
    <w:rsid w:val="33752ADF"/>
    <w:rsid w:val="337544E7"/>
    <w:rsid w:val="33784CD4"/>
    <w:rsid w:val="3381002D"/>
    <w:rsid w:val="33833DA5"/>
    <w:rsid w:val="33843679"/>
    <w:rsid w:val="33845AEF"/>
    <w:rsid w:val="338A1C5E"/>
    <w:rsid w:val="338C365C"/>
    <w:rsid w:val="338D02E2"/>
    <w:rsid w:val="33916300"/>
    <w:rsid w:val="33951EF8"/>
    <w:rsid w:val="339D5D33"/>
    <w:rsid w:val="339E2ACB"/>
    <w:rsid w:val="33A23246"/>
    <w:rsid w:val="33AB32FB"/>
    <w:rsid w:val="33AC1339"/>
    <w:rsid w:val="33AE48CC"/>
    <w:rsid w:val="33B201E6"/>
    <w:rsid w:val="33B51311"/>
    <w:rsid w:val="33B73A4E"/>
    <w:rsid w:val="33B9293B"/>
    <w:rsid w:val="33C5616B"/>
    <w:rsid w:val="33D26ADA"/>
    <w:rsid w:val="33D55500"/>
    <w:rsid w:val="33D62126"/>
    <w:rsid w:val="33DB798F"/>
    <w:rsid w:val="33DC27C9"/>
    <w:rsid w:val="33E10ACB"/>
    <w:rsid w:val="33E32A95"/>
    <w:rsid w:val="33ED56C2"/>
    <w:rsid w:val="33F3732D"/>
    <w:rsid w:val="34034EE6"/>
    <w:rsid w:val="34056007"/>
    <w:rsid w:val="34074FA3"/>
    <w:rsid w:val="340903D1"/>
    <w:rsid w:val="340E1496"/>
    <w:rsid w:val="34115391"/>
    <w:rsid w:val="341D2EC6"/>
    <w:rsid w:val="341E27F0"/>
    <w:rsid w:val="341E587B"/>
    <w:rsid w:val="342121ED"/>
    <w:rsid w:val="34332832"/>
    <w:rsid w:val="34384B8F"/>
    <w:rsid w:val="343A0557"/>
    <w:rsid w:val="343B01DB"/>
    <w:rsid w:val="34443F98"/>
    <w:rsid w:val="344D6161"/>
    <w:rsid w:val="3456587C"/>
    <w:rsid w:val="345839B8"/>
    <w:rsid w:val="34713BFD"/>
    <w:rsid w:val="34796F56"/>
    <w:rsid w:val="347E567B"/>
    <w:rsid w:val="34823EFC"/>
    <w:rsid w:val="34824267"/>
    <w:rsid w:val="3486725C"/>
    <w:rsid w:val="34884436"/>
    <w:rsid w:val="34891977"/>
    <w:rsid w:val="34891A92"/>
    <w:rsid w:val="348D35C7"/>
    <w:rsid w:val="348E2A01"/>
    <w:rsid w:val="348F2F18"/>
    <w:rsid w:val="34906DAF"/>
    <w:rsid w:val="34930017"/>
    <w:rsid w:val="3493286A"/>
    <w:rsid w:val="34943D90"/>
    <w:rsid w:val="34B14942"/>
    <w:rsid w:val="34B65AB4"/>
    <w:rsid w:val="34BD0A45"/>
    <w:rsid w:val="34BD4BA2"/>
    <w:rsid w:val="34C46423"/>
    <w:rsid w:val="34EB2D5E"/>
    <w:rsid w:val="34F12F90"/>
    <w:rsid w:val="34F76B17"/>
    <w:rsid w:val="35022D2E"/>
    <w:rsid w:val="3504212C"/>
    <w:rsid w:val="350608B2"/>
    <w:rsid w:val="350C08BE"/>
    <w:rsid w:val="350E58F0"/>
    <w:rsid w:val="35131158"/>
    <w:rsid w:val="3515212D"/>
    <w:rsid w:val="35156C7E"/>
    <w:rsid w:val="351F3659"/>
    <w:rsid w:val="352073D1"/>
    <w:rsid w:val="35245113"/>
    <w:rsid w:val="35250261"/>
    <w:rsid w:val="3529097C"/>
    <w:rsid w:val="352B64A2"/>
    <w:rsid w:val="35352E7D"/>
    <w:rsid w:val="35365E57"/>
    <w:rsid w:val="353741CE"/>
    <w:rsid w:val="354632DC"/>
    <w:rsid w:val="354D466A"/>
    <w:rsid w:val="354F3A03"/>
    <w:rsid w:val="355D23D3"/>
    <w:rsid w:val="35607689"/>
    <w:rsid w:val="3561037B"/>
    <w:rsid w:val="35693C08"/>
    <w:rsid w:val="3569521C"/>
    <w:rsid w:val="356A2329"/>
    <w:rsid w:val="356C7D8E"/>
    <w:rsid w:val="356E5D01"/>
    <w:rsid w:val="357320AE"/>
    <w:rsid w:val="357C7EED"/>
    <w:rsid w:val="357D4824"/>
    <w:rsid w:val="35841E81"/>
    <w:rsid w:val="358A7C04"/>
    <w:rsid w:val="358B29C0"/>
    <w:rsid w:val="3596063D"/>
    <w:rsid w:val="35977693"/>
    <w:rsid w:val="359953B3"/>
    <w:rsid w:val="359B00FB"/>
    <w:rsid w:val="35AA241A"/>
    <w:rsid w:val="35BD2BA5"/>
    <w:rsid w:val="35C366DA"/>
    <w:rsid w:val="35CD7559"/>
    <w:rsid w:val="35CE46AE"/>
    <w:rsid w:val="35E02ECA"/>
    <w:rsid w:val="35E054DE"/>
    <w:rsid w:val="35E23668"/>
    <w:rsid w:val="35F226EB"/>
    <w:rsid w:val="35F26FC0"/>
    <w:rsid w:val="35FB2318"/>
    <w:rsid w:val="35FE3BB6"/>
    <w:rsid w:val="36022C46"/>
    <w:rsid w:val="36034D29"/>
    <w:rsid w:val="36107BED"/>
    <w:rsid w:val="361113D0"/>
    <w:rsid w:val="361115A1"/>
    <w:rsid w:val="361E6007"/>
    <w:rsid w:val="362D7FF8"/>
    <w:rsid w:val="362F5B1E"/>
    <w:rsid w:val="363470C6"/>
    <w:rsid w:val="36380454"/>
    <w:rsid w:val="36415E89"/>
    <w:rsid w:val="36464CCC"/>
    <w:rsid w:val="36466F20"/>
    <w:rsid w:val="3651512A"/>
    <w:rsid w:val="365A3153"/>
    <w:rsid w:val="36604C3B"/>
    <w:rsid w:val="366215F3"/>
    <w:rsid w:val="36642B6C"/>
    <w:rsid w:val="36647515"/>
    <w:rsid w:val="366D26E7"/>
    <w:rsid w:val="366D3A16"/>
    <w:rsid w:val="36786CDC"/>
    <w:rsid w:val="367B6FB5"/>
    <w:rsid w:val="367F5432"/>
    <w:rsid w:val="367F55E7"/>
    <w:rsid w:val="36914A2B"/>
    <w:rsid w:val="369A3EC3"/>
    <w:rsid w:val="369D1B80"/>
    <w:rsid w:val="369E0EF6"/>
    <w:rsid w:val="36A007CA"/>
    <w:rsid w:val="36A50EB6"/>
    <w:rsid w:val="36B15179"/>
    <w:rsid w:val="36B85B13"/>
    <w:rsid w:val="36C175C6"/>
    <w:rsid w:val="36C21264"/>
    <w:rsid w:val="36C82C47"/>
    <w:rsid w:val="36CE17DB"/>
    <w:rsid w:val="36D8295A"/>
    <w:rsid w:val="36D87F64"/>
    <w:rsid w:val="36D93CDC"/>
    <w:rsid w:val="36DD557A"/>
    <w:rsid w:val="36E65199"/>
    <w:rsid w:val="36E745A2"/>
    <w:rsid w:val="36E83F1F"/>
    <w:rsid w:val="36EC3A0F"/>
    <w:rsid w:val="36FE4069"/>
    <w:rsid w:val="36FF4C08"/>
    <w:rsid w:val="37023232"/>
    <w:rsid w:val="371F4BBF"/>
    <w:rsid w:val="371F7B4F"/>
    <w:rsid w:val="372E1735"/>
    <w:rsid w:val="37390A3C"/>
    <w:rsid w:val="37397F6D"/>
    <w:rsid w:val="373F724F"/>
    <w:rsid w:val="374455F9"/>
    <w:rsid w:val="37460AB5"/>
    <w:rsid w:val="374B1A5B"/>
    <w:rsid w:val="37557806"/>
    <w:rsid w:val="37565214"/>
    <w:rsid w:val="375A12C0"/>
    <w:rsid w:val="37645C9B"/>
    <w:rsid w:val="37691503"/>
    <w:rsid w:val="376C6090"/>
    <w:rsid w:val="37732382"/>
    <w:rsid w:val="37805E9B"/>
    <w:rsid w:val="378325C5"/>
    <w:rsid w:val="378571E0"/>
    <w:rsid w:val="378A2E2C"/>
    <w:rsid w:val="379530C6"/>
    <w:rsid w:val="37976071"/>
    <w:rsid w:val="3798282D"/>
    <w:rsid w:val="37AF33BA"/>
    <w:rsid w:val="37B248FD"/>
    <w:rsid w:val="37B24AB3"/>
    <w:rsid w:val="37B564F7"/>
    <w:rsid w:val="37B7401D"/>
    <w:rsid w:val="37BA1D5F"/>
    <w:rsid w:val="37C60704"/>
    <w:rsid w:val="37C9239D"/>
    <w:rsid w:val="37D20E57"/>
    <w:rsid w:val="37D2266D"/>
    <w:rsid w:val="37DD4C8C"/>
    <w:rsid w:val="37E40B8A"/>
    <w:rsid w:val="37E868CC"/>
    <w:rsid w:val="37EA7BDA"/>
    <w:rsid w:val="37EB3CC7"/>
    <w:rsid w:val="37EE798C"/>
    <w:rsid w:val="37F05750"/>
    <w:rsid w:val="37F40CE9"/>
    <w:rsid w:val="37F44FFE"/>
    <w:rsid w:val="37F82ABC"/>
    <w:rsid w:val="37FC04AB"/>
    <w:rsid w:val="37FC4126"/>
    <w:rsid w:val="37FF5EC8"/>
    <w:rsid w:val="3806155D"/>
    <w:rsid w:val="3809330B"/>
    <w:rsid w:val="380B6117"/>
    <w:rsid w:val="380E28C0"/>
    <w:rsid w:val="380F3E59"/>
    <w:rsid w:val="381A58BA"/>
    <w:rsid w:val="381E22EE"/>
    <w:rsid w:val="38244B3F"/>
    <w:rsid w:val="38256634"/>
    <w:rsid w:val="382A0C93"/>
    <w:rsid w:val="383A4409"/>
    <w:rsid w:val="383E51B3"/>
    <w:rsid w:val="38402B7E"/>
    <w:rsid w:val="38404012"/>
    <w:rsid w:val="3847158B"/>
    <w:rsid w:val="3849678C"/>
    <w:rsid w:val="384F7AA2"/>
    <w:rsid w:val="385201EA"/>
    <w:rsid w:val="385505E5"/>
    <w:rsid w:val="385555E4"/>
    <w:rsid w:val="385D074F"/>
    <w:rsid w:val="38602906"/>
    <w:rsid w:val="386106E0"/>
    <w:rsid w:val="386121DB"/>
    <w:rsid w:val="38654298"/>
    <w:rsid w:val="386D4F37"/>
    <w:rsid w:val="386E5BFC"/>
    <w:rsid w:val="386F06F8"/>
    <w:rsid w:val="386F48F8"/>
    <w:rsid w:val="387E5850"/>
    <w:rsid w:val="38884D2F"/>
    <w:rsid w:val="38886858"/>
    <w:rsid w:val="388A1666"/>
    <w:rsid w:val="388A1EF2"/>
    <w:rsid w:val="388F0AF6"/>
    <w:rsid w:val="388F6D48"/>
    <w:rsid w:val="38995E18"/>
    <w:rsid w:val="389D1465"/>
    <w:rsid w:val="38BE762D"/>
    <w:rsid w:val="38C810A2"/>
    <w:rsid w:val="38CB2E0B"/>
    <w:rsid w:val="38CE00EA"/>
    <w:rsid w:val="38D56570"/>
    <w:rsid w:val="38D94467"/>
    <w:rsid w:val="38D96215"/>
    <w:rsid w:val="38E173A8"/>
    <w:rsid w:val="38F00953"/>
    <w:rsid w:val="38F31085"/>
    <w:rsid w:val="39023538"/>
    <w:rsid w:val="390750D9"/>
    <w:rsid w:val="390D653D"/>
    <w:rsid w:val="390E5CB1"/>
    <w:rsid w:val="390F1A9A"/>
    <w:rsid w:val="39194863"/>
    <w:rsid w:val="391B3FFA"/>
    <w:rsid w:val="39253208"/>
    <w:rsid w:val="39284E12"/>
    <w:rsid w:val="39290F4A"/>
    <w:rsid w:val="392A3862"/>
    <w:rsid w:val="392B61FC"/>
    <w:rsid w:val="392F2027"/>
    <w:rsid w:val="394418E0"/>
    <w:rsid w:val="394F4928"/>
    <w:rsid w:val="39542518"/>
    <w:rsid w:val="395568D4"/>
    <w:rsid w:val="39567866"/>
    <w:rsid w:val="395801D3"/>
    <w:rsid w:val="395974E0"/>
    <w:rsid w:val="395D72F1"/>
    <w:rsid w:val="396E2E01"/>
    <w:rsid w:val="39706B79"/>
    <w:rsid w:val="39723EC5"/>
    <w:rsid w:val="39737051"/>
    <w:rsid w:val="397E633A"/>
    <w:rsid w:val="39835B15"/>
    <w:rsid w:val="39840742"/>
    <w:rsid w:val="39846181"/>
    <w:rsid w:val="39900FC9"/>
    <w:rsid w:val="399F120C"/>
    <w:rsid w:val="39A22AAB"/>
    <w:rsid w:val="39A27F0D"/>
    <w:rsid w:val="39A909A1"/>
    <w:rsid w:val="39B06F76"/>
    <w:rsid w:val="39B51940"/>
    <w:rsid w:val="39BE516B"/>
    <w:rsid w:val="39CE7FD9"/>
    <w:rsid w:val="39D215E2"/>
    <w:rsid w:val="39D7744C"/>
    <w:rsid w:val="39D864CC"/>
    <w:rsid w:val="39DE1D35"/>
    <w:rsid w:val="39DF3CFF"/>
    <w:rsid w:val="39EC3D26"/>
    <w:rsid w:val="39F257E0"/>
    <w:rsid w:val="39FF6177"/>
    <w:rsid w:val="3A015A23"/>
    <w:rsid w:val="3A0D63F8"/>
    <w:rsid w:val="3A0F6392"/>
    <w:rsid w:val="3A173499"/>
    <w:rsid w:val="3A173CF6"/>
    <w:rsid w:val="3A1C70CB"/>
    <w:rsid w:val="3A211C22"/>
    <w:rsid w:val="3A23240B"/>
    <w:rsid w:val="3A253286"/>
    <w:rsid w:val="3A2636DC"/>
    <w:rsid w:val="3A296D28"/>
    <w:rsid w:val="3A2C12A6"/>
    <w:rsid w:val="3A2C4FAA"/>
    <w:rsid w:val="3A2D31FD"/>
    <w:rsid w:val="3A306308"/>
    <w:rsid w:val="3A32374C"/>
    <w:rsid w:val="3A323E2F"/>
    <w:rsid w:val="3A347611"/>
    <w:rsid w:val="3A3C3AC3"/>
    <w:rsid w:val="3A43428E"/>
    <w:rsid w:val="3A4554C0"/>
    <w:rsid w:val="3A583C64"/>
    <w:rsid w:val="3A661D2A"/>
    <w:rsid w:val="3A6A67D9"/>
    <w:rsid w:val="3A7015E5"/>
    <w:rsid w:val="3A7461F5"/>
    <w:rsid w:val="3A7A6F3C"/>
    <w:rsid w:val="3A7A70F1"/>
    <w:rsid w:val="3A7D42E7"/>
    <w:rsid w:val="3A7D670E"/>
    <w:rsid w:val="3A810912"/>
    <w:rsid w:val="3A824DB6"/>
    <w:rsid w:val="3A856654"/>
    <w:rsid w:val="3A895F1A"/>
    <w:rsid w:val="3A8A3C6B"/>
    <w:rsid w:val="3A8D5509"/>
    <w:rsid w:val="3A8E52DD"/>
    <w:rsid w:val="3A922B1F"/>
    <w:rsid w:val="3AA47EC1"/>
    <w:rsid w:val="3AAD1707"/>
    <w:rsid w:val="3AAF38F1"/>
    <w:rsid w:val="3AB413D1"/>
    <w:rsid w:val="3AC05C10"/>
    <w:rsid w:val="3AC75562"/>
    <w:rsid w:val="3AC94911"/>
    <w:rsid w:val="3ACC7DDF"/>
    <w:rsid w:val="3ACE216B"/>
    <w:rsid w:val="3ACE7FFB"/>
    <w:rsid w:val="3AD072FD"/>
    <w:rsid w:val="3AD15428"/>
    <w:rsid w:val="3AD44EE6"/>
    <w:rsid w:val="3AD9074E"/>
    <w:rsid w:val="3ADD50BB"/>
    <w:rsid w:val="3ADE5D64"/>
    <w:rsid w:val="3AE25855"/>
    <w:rsid w:val="3AED318F"/>
    <w:rsid w:val="3AF17393"/>
    <w:rsid w:val="3AF410E4"/>
    <w:rsid w:val="3AFB6916"/>
    <w:rsid w:val="3AFC4F2B"/>
    <w:rsid w:val="3B051543"/>
    <w:rsid w:val="3B0633B9"/>
    <w:rsid w:val="3B085695"/>
    <w:rsid w:val="3B263535"/>
    <w:rsid w:val="3B2B1381"/>
    <w:rsid w:val="3B2D429E"/>
    <w:rsid w:val="3B304E32"/>
    <w:rsid w:val="3B31058A"/>
    <w:rsid w:val="3B342DF9"/>
    <w:rsid w:val="3B3F6BB2"/>
    <w:rsid w:val="3B44206B"/>
    <w:rsid w:val="3B4770E1"/>
    <w:rsid w:val="3B503443"/>
    <w:rsid w:val="3B551C29"/>
    <w:rsid w:val="3B5A1C91"/>
    <w:rsid w:val="3B5D7034"/>
    <w:rsid w:val="3B626996"/>
    <w:rsid w:val="3B6312E8"/>
    <w:rsid w:val="3B700067"/>
    <w:rsid w:val="3B716BE4"/>
    <w:rsid w:val="3B750477"/>
    <w:rsid w:val="3B7B1805"/>
    <w:rsid w:val="3B7F30A4"/>
    <w:rsid w:val="3B8C57C0"/>
    <w:rsid w:val="3B8E3B9E"/>
    <w:rsid w:val="3B8F3603"/>
    <w:rsid w:val="3B954675"/>
    <w:rsid w:val="3B9A2BA5"/>
    <w:rsid w:val="3BA0301A"/>
    <w:rsid w:val="3BA23236"/>
    <w:rsid w:val="3BB158CF"/>
    <w:rsid w:val="3BB5751B"/>
    <w:rsid w:val="3BBA0580"/>
    <w:rsid w:val="3BBB7E54"/>
    <w:rsid w:val="3BC14B4C"/>
    <w:rsid w:val="3BC431AC"/>
    <w:rsid w:val="3BD00198"/>
    <w:rsid w:val="3BD056AD"/>
    <w:rsid w:val="3BD31641"/>
    <w:rsid w:val="3BD86C58"/>
    <w:rsid w:val="3BE431A3"/>
    <w:rsid w:val="3BE473AB"/>
    <w:rsid w:val="3BF07AFD"/>
    <w:rsid w:val="3BF70E8C"/>
    <w:rsid w:val="3C101F4E"/>
    <w:rsid w:val="3C11114C"/>
    <w:rsid w:val="3C1201E9"/>
    <w:rsid w:val="3C174336"/>
    <w:rsid w:val="3C213BF5"/>
    <w:rsid w:val="3C2146D1"/>
    <w:rsid w:val="3C241E9D"/>
    <w:rsid w:val="3C2B4835"/>
    <w:rsid w:val="3C2E56C4"/>
    <w:rsid w:val="3C326368"/>
    <w:rsid w:val="3C3814A4"/>
    <w:rsid w:val="3C394A07"/>
    <w:rsid w:val="3C3976F6"/>
    <w:rsid w:val="3C3C0CD2"/>
    <w:rsid w:val="3C3E5CA8"/>
    <w:rsid w:val="3C430575"/>
    <w:rsid w:val="3C4758CA"/>
    <w:rsid w:val="3C495460"/>
    <w:rsid w:val="3C4B19C7"/>
    <w:rsid w:val="3C4B567C"/>
    <w:rsid w:val="3C4D13F4"/>
    <w:rsid w:val="3C5203FE"/>
    <w:rsid w:val="3C5D5557"/>
    <w:rsid w:val="3C6504EB"/>
    <w:rsid w:val="3C6D55F2"/>
    <w:rsid w:val="3C6F3118"/>
    <w:rsid w:val="3C7526A2"/>
    <w:rsid w:val="3C7E15AD"/>
    <w:rsid w:val="3C853D67"/>
    <w:rsid w:val="3C8D7A42"/>
    <w:rsid w:val="3C926E07"/>
    <w:rsid w:val="3C950F0C"/>
    <w:rsid w:val="3C9A24A2"/>
    <w:rsid w:val="3C9C1A33"/>
    <w:rsid w:val="3C9E1825"/>
    <w:rsid w:val="3CA1529C"/>
    <w:rsid w:val="3CB7061B"/>
    <w:rsid w:val="3CBC3285"/>
    <w:rsid w:val="3CBE7BFC"/>
    <w:rsid w:val="3CC01CE8"/>
    <w:rsid w:val="3CC11CFC"/>
    <w:rsid w:val="3CCA6B71"/>
    <w:rsid w:val="3CCF35B3"/>
    <w:rsid w:val="3CDD2778"/>
    <w:rsid w:val="3CE138EA"/>
    <w:rsid w:val="3CE807A0"/>
    <w:rsid w:val="3CEC29B6"/>
    <w:rsid w:val="3CED6733"/>
    <w:rsid w:val="3CF25AF7"/>
    <w:rsid w:val="3D033860"/>
    <w:rsid w:val="3D0A1093"/>
    <w:rsid w:val="3D0A7413"/>
    <w:rsid w:val="3D0E0B83"/>
    <w:rsid w:val="3D0F48FB"/>
    <w:rsid w:val="3D0F66A9"/>
    <w:rsid w:val="3D136199"/>
    <w:rsid w:val="3D17331F"/>
    <w:rsid w:val="3D1E5236"/>
    <w:rsid w:val="3D287393"/>
    <w:rsid w:val="3D2F2AD1"/>
    <w:rsid w:val="3D332398"/>
    <w:rsid w:val="3D3A6D34"/>
    <w:rsid w:val="3D3D4A23"/>
    <w:rsid w:val="3D42082D"/>
    <w:rsid w:val="3D430101"/>
    <w:rsid w:val="3D4520CB"/>
    <w:rsid w:val="3D477BF1"/>
    <w:rsid w:val="3D491BBB"/>
    <w:rsid w:val="3D501E56"/>
    <w:rsid w:val="3D567E34"/>
    <w:rsid w:val="3D610D50"/>
    <w:rsid w:val="3D6407A3"/>
    <w:rsid w:val="3D6562C9"/>
    <w:rsid w:val="3D6A1B31"/>
    <w:rsid w:val="3D6B695F"/>
    <w:rsid w:val="3D766728"/>
    <w:rsid w:val="3D7B5AED"/>
    <w:rsid w:val="3D803103"/>
    <w:rsid w:val="3D830958"/>
    <w:rsid w:val="3D850719"/>
    <w:rsid w:val="3D8C4172"/>
    <w:rsid w:val="3D8E3A72"/>
    <w:rsid w:val="3D9A2417"/>
    <w:rsid w:val="3D9D1F07"/>
    <w:rsid w:val="3DA33C32"/>
    <w:rsid w:val="3DA46DF1"/>
    <w:rsid w:val="3DAB4624"/>
    <w:rsid w:val="3DAC3EF8"/>
    <w:rsid w:val="3DB04FD3"/>
    <w:rsid w:val="3DB334D8"/>
    <w:rsid w:val="3DB8289D"/>
    <w:rsid w:val="3DB82EC7"/>
    <w:rsid w:val="3DCB25D0"/>
    <w:rsid w:val="3DCC7E1D"/>
    <w:rsid w:val="3DDA5C90"/>
    <w:rsid w:val="3DE477C2"/>
    <w:rsid w:val="3DE6565C"/>
    <w:rsid w:val="3DEB4A20"/>
    <w:rsid w:val="3DEC0798"/>
    <w:rsid w:val="3DF134AA"/>
    <w:rsid w:val="3DF371D0"/>
    <w:rsid w:val="3DF37D79"/>
    <w:rsid w:val="3DF462C3"/>
    <w:rsid w:val="3DF5589F"/>
    <w:rsid w:val="3E025B80"/>
    <w:rsid w:val="3E0755D2"/>
    <w:rsid w:val="3E0A7640"/>
    <w:rsid w:val="3E0B50C2"/>
    <w:rsid w:val="3E0E69B8"/>
    <w:rsid w:val="3E101D1C"/>
    <w:rsid w:val="3E1877DF"/>
    <w:rsid w:val="3E20310F"/>
    <w:rsid w:val="3E2B6CD1"/>
    <w:rsid w:val="3E2D55BB"/>
    <w:rsid w:val="3E3642DC"/>
    <w:rsid w:val="3E3A0EB7"/>
    <w:rsid w:val="3E4D1237"/>
    <w:rsid w:val="3E4D56DB"/>
    <w:rsid w:val="3E502AD5"/>
    <w:rsid w:val="3E54124D"/>
    <w:rsid w:val="3E5527E2"/>
    <w:rsid w:val="3E5C76CC"/>
    <w:rsid w:val="3E612F34"/>
    <w:rsid w:val="3E614CE2"/>
    <w:rsid w:val="3E6807DB"/>
    <w:rsid w:val="3E686071"/>
    <w:rsid w:val="3E6B3DB3"/>
    <w:rsid w:val="3E706473"/>
    <w:rsid w:val="3E764224"/>
    <w:rsid w:val="3E7762B4"/>
    <w:rsid w:val="3E78202C"/>
    <w:rsid w:val="3E81245D"/>
    <w:rsid w:val="3E883D6C"/>
    <w:rsid w:val="3E8B7FB1"/>
    <w:rsid w:val="3E8D1F7B"/>
    <w:rsid w:val="3E95498C"/>
    <w:rsid w:val="3E9A0C95"/>
    <w:rsid w:val="3E9B4698"/>
    <w:rsid w:val="3EA132AC"/>
    <w:rsid w:val="3EA8373C"/>
    <w:rsid w:val="3EAD58D5"/>
    <w:rsid w:val="3EAD5DCC"/>
    <w:rsid w:val="3EAE33E2"/>
    <w:rsid w:val="3EB04EF5"/>
    <w:rsid w:val="3EB968CD"/>
    <w:rsid w:val="3EBA43F3"/>
    <w:rsid w:val="3EC040FF"/>
    <w:rsid w:val="3EC170E6"/>
    <w:rsid w:val="3ECA6D2C"/>
    <w:rsid w:val="3EE75DB1"/>
    <w:rsid w:val="3EE762D2"/>
    <w:rsid w:val="3EE81050"/>
    <w:rsid w:val="3EE93B81"/>
    <w:rsid w:val="3EFB0C93"/>
    <w:rsid w:val="3EFE4C27"/>
    <w:rsid w:val="3F010273"/>
    <w:rsid w:val="3F011085"/>
    <w:rsid w:val="3F104BA9"/>
    <w:rsid w:val="3F1434CE"/>
    <w:rsid w:val="3F281CA4"/>
    <w:rsid w:val="3F282BD9"/>
    <w:rsid w:val="3F285800"/>
    <w:rsid w:val="3F2F1C77"/>
    <w:rsid w:val="3F3C12AC"/>
    <w:rsid w:val="3F422D66"/>
    <w:rsid w:val="3F47037C"/>
    <w:rsid w:val="3F485DF7"/>
    <w:rsid w:val="3F512FA9"/>
    <w:rsid w:val="3F520ACF"/>
    <w:rsid w:val="3F561D6A"/>
    <w:rsid w:val="3F56236D"/>
    <w:rsid w:val="3F5642B0"/>
    <w:rsid w:val="3F5E627C"/>
    <w:rsid w:val="3F6D76B7"/>
    <w:rsid w:val="3F710F55"/>
    <w:rsid w:val="3F74457F"/>
    <w:rsid w:val="3F7F5270"/>
    <w:rsid w:val="3F7F7B16"/>
    <w:rsid w:val="3F80563C"/>
    <w:rsid w:val="3F8073EA"/>
    <w:rsid w:val="3F836EDA"/>
    <w:rsid w:val="3F850EA5"/>
    <w:rsid w:val="3F896774"/>
    <w:rsid w:val="3F8C5D8F"/>
    <w:rsid w:val="3F93711E"/>
    <w:rsid w:val="3F9410E8"/>
    <w:rsid w:val="3F962049"/>
    <w:rsid w:val="3F966D63"/>
    <w:rsid w:val="3F9E05F1"/>
    <w:rsid w:val="3FA255B3"/>
    <w:rsid w:val="3FA37EA3"/>
    <w:rsid w:val="3FA4761E"/>
    <w:rsid w:val="3FA806EF"/>
    <w:rsid w:val="3FAB3F3C"/>
    <w:rsid w:val="3FAE03FB"/>
    <w:rsid w:val="3FB451AA"/>
    <w:rsid w:val="3FB543FD"/>
    <w:rsid w:val="3FBA6DA0"/>
    <w:rsid w:val="3FD124CF"/>
    <w:rsid w:val="3FD44D7F"/>
    <w:rsid w:val="3FD45853"/>
    <w:rsid w:val="3FD612A7"/>
    <w:rsid w:val="3FD65C04"/>
    <w:rsid w:val="3FD80FD4"/>
    <w:rsid w:val="3FE012B4"/>
    <w:rsid w:val="3FEA088C"/>
    <w:rsid w:val="3FED73CA"/>
    <w:rsid w:val="3FF04570"/>
    <w:rsid w:val="3FF42936"/>
    <w:rsid w:val="3FF658FE"/>
    <w:rsid w:val="3FF97C22"/>
    <w:rsid w:val="3FFA0DA1"/>
    <w:rsid w:val="4001677D"/>
    <w:rsid w:val="400C4038"/>
    <w:rsid w:val="400F2F37"/>
    <w:rsid w:val="402002DC"/>
    <w:rsid w:val="402204A1"/>
    <w:rsid w:val="4025169F"/>
    <w:rsid w:val="40271F5C"/>
    <w:rsid w:val="40291830"/>
    <w:rsid w:val="40297018"/>
    <w:rsid w:val="402B1A4C"/>
    <w:rsid w:val="402B4C75"/>
    <w:rsid w:val="402D7572"/>
    <w:rsid w:val="402E32EA"/>
    <w:rsid w:val="40302BBE"/>
    <w:rsid w:val="403B2A9D"/>
    <w:rsid w:val="403C5CDE"/>
    <w:rsid w:val="40445377"/>
    <w:rsid w:val="4047615A"/>
    <w:rsid w:val="40477F08"/>
    <w:rsid w:val="404E1296"/>
    <w:rsid w:val="40502771"/>
    <w:rsid w:val="40534544"/>
    <w:rsid w:val="40550877"/>
    <w:rsid w:val="4058639A"/>
    <w:rsid w:val="40632DD5"/>
    <w:rsid w:val="406367F6"/>
    <w:rsid w:val="4064002A"/>
    <w:rsid w:val="40675117"/>
    <w:rsid w:val="40736CE4"/>
    <w:rsid w:val="40736F4F"/>
    <w:rsid w:val="40750F19"/>
    <w:rsid w:val="407A208B"/>
    <w:rsid w:val="407F0314"/>
    <w:rsid w:val="4090365D"/>
    <w:rsid w:val="40A37834"/>
    <w:rsid w:val="40A67324"/>
    <w:rsid w:val="40A94775"/>
    <w:rsid w:val="40B21825"/>
    <w:rsid w:val="40BA4B7E"/>
    <w:rsid w:val="40C33A2D"/>
    <w:rsid w:val="40C477AB"/>
    <w:rsid w:val="40CB28E7"/>
    <w:rsid w:val="40CF687B"/>
    <w:rsid w:val="40D93256"/>
    <w:rsid w:val="40DE09B8"/>
    <w:rsid w:val="40F005A0"/>
    <w:rsid w:val="40FA4F7A"/>
    <w:rsid w:val="40FF64E3"/>
    <w:rsid w:val="410302D3"/>
    <w:rsid w:val="410C3E3F"/>
    <w:rsid w:val="410D2F00"/>
    <w:rsid w:val="411A4C6D"/>
    <w:rsid w:val="411A73CB"/>
    <w:rsid w:val="412A45D8"/>
    <w:rsid w:val="412A691E"/>
    <w:rsid w:val="412B5F23"/>
    <w:rsid w:val="412C782A"/>
    <w:rsid w:val="412D2400"/>
    <w:rsid w:val="41306BEE"/>
    <w:rsid w:val="413B561F"/>
    <w:rsid w:val="41456B3D"/>
    <w:rsid w:val="41510AA7"/>
    <w:rsid w:val="415121A7"/>
    <w:rsid w:val="415D5C35"/>
    <w:rsid w:val="41610E51"/>
    <w:rsid w:val="41614FF9"/>
    <w:rsid w:val="41636FC4"/>
    <w:rsid w:val="4168282C"/>
    <w:rsid w:val="416B7C26"/>
    <w:rsid w:val="416C5E78"/>
    <w:rsid w:val="4171348E"/>
    <w:rsid w:val="417B430D"/>
    <w:rsid w:val="417D4941"/>
    <w:rsid w:val="417E4998"/>
    <w:rsid w:val="41870F04"/>
    <w:rsid w:val="418D1221"/>
    <w:rsid w:val="4191198C"/>
    <w:rsid w:val="41A15696"/>
    <w:rsid w:val="41A53056"/>
    <w:rsid w:val="41A76DD3"/>
    <w:rsid w:val="41AC44C7"/>
    <w:rsid w:val="41AC4AD8"/>
    <w:rsid w:val="41B76C22"/>
    <w:rsid w:val="41C645C6"/>
    <w:rsid w:val="41CA0DF1"/>
    <w:rsid w:val="41CA7043"/>
    <w:rsid w:val="41D140CE"/>
    <w:rsid w:val="41D53675"/>
    <w:rsid w:val="41DA0CA1"/>
    <w:rsid w:val="41DB68B9"/>
    <w:rsid w:val="41DC6703"/>
    <w:rsid w:val="41DF1AEB"/>
    <w:rsid w:val="41E2737F"/>
    <w:rsid w:val="41F12885"/>
    <w:rsid w:val="41F66C78"/>
    <w:rsid w:val="41FA1D1A"/>
    <w:rsid w:val="420E33D3"/>
    <w:rsid w:val="42134546"/>
    <w:rsid w:val="421546B0"/>
    <w:rsid w:val="421A3B26"/>
    <w:rsid w:val="421F738E"/>
    <w:rsid w:val="4221640B"/>
    <w:rsid w:val="422608BA"/>
    <w:rsid w:val="42291FBB"/>
    <w:rsid w:val="422C5607"/>
    <w:rsid w:val="42350960"/>
    <w:rsid w:val="42366486"/>
    <w:rsid w:val="42380450"/>
    <w:rsid w:val="423D15C3"/>
    <w:rsid w:val="42446DF5"/>
    <w:rsid w:val="42471EF1"/>
    <w:rsid w:val="424757AB"/>
    <w:rsid w:val="424E1A22"/>
    <w:rsid w:val="424E37D0"/>
    <w:rsid w:val="42500A93"/>
    <w:rsid w:val="42525EAF"/>
    <w:rsid w:val="42574A5A"/>
    <w:rsid w:val="425A6618"/>
    <w:rsid w:val="42664FBD"/>
    <w:rsid w:val="426E3E72"/>
    <w:rsid w:val="42771FC5"/>
    <w:rsid w:val="42871D37"/>
    <w:rsid w:val="42894808"/>
    <w:rsid w:val="428A217B"/>
    <w:rsid w:val="428A31E3"/>
    <w:rsid w:val="428D4A64"/>
    <w:rsid w:val="428D5136"/>
    <w:rsid w:val="428E3302"/>
    <w:rsid w:val="429409DC"/>
    <w:rsid w:val="4296401C"/>
    <w:rsid w:val="42976F25"/>
    <w:rsid w:val="429D65A5"/>
    <w:rsid w:val="42A038DB"/>
    <w:rsid w:val="42A81C22"/>
    <w:rsid w:val="42AD642A"/>
    <w:rsid w:val="42AD752A"/>
    <w:rsid w:val="42AE0712"/>
    <w:rsid w:val="42AE5E51"/>
    <w:rsid w:val="42AE784B"/>
    <w:rsid w:val="42B23D5F"/>
    <w:rsid w:val="42B76A4F"/>
    <w:rsid w:val="42BC4F5E"/>
    <w:rsid w:val="42C121F4"/>
    <w:rsid w:val="42C53A9C"/>
    <w:rsid w:val="42C711D8"/>
    <w:rsid w:val="42C97A8B"/>
    <w:rsid w:val="42DA361B"/>
    <w:rsid w:val="42DD2F74"/>
    <w:rsid w:val="42DF0F29"/>
    <w:rsid w:val="42E36438"/>
    <w:rsid w:val="42E83C24"/>
    <w:rsid w:val="42EA3629"/>
    <w:rsid w:val="42F779C3"/>
    <w:rsid w:val="42FB2F2B"/>
    <w:rsid w:val="43030A5E"/>
    <w:rsid w:val="43052C44"/>
    <w:rsid w:val="4306692E"/>
    <w:rsid w:val="430D5439"/>
    <w:rsid w:val="430F5343"/>
    <w:rsid w:val="431542ED"/>
    <w:rsid w:val="431A7B56"/>
    <w:rsid w:val="431F75E1"/>
    <w:rsid w:val="43210EE4"/>
    <w:rsid w:val="432A7D99"/>
    <w:rsid w:val="432D5ADB"/>
    <w:rsid w:val="43397FDC"/>
    <w:rsid w:val="433C3B8B"/>
    <w:rsid w:val="433F136A"/>
    <w:rsid w:val="434075BC"/>
    <w:rsid w:val="43414752"/>
    <w:rsid w:val="43432C09"/>
    <w:rsid w:val="434370AD"/>
    <w:rsid w:val="434444D3"/>
    <w:rsid w:val="434703D0"/>
    <w:rsid w:val="434B5204"/>
    <w:rsid w:val="434B5F61"/>
    <w:rsid w:val="4352109E"/>
    <w:rsid w:val="43582AB4"/>
    <w:rsid w:val="435A7F52"/>
    <w:rsid w:val="435F0BB2"/>
    <w:rsid w:val="435F6699"/>
    <w:rsid w:val="436314FD"/>
    <w:rsid w:val="436D5ED7"/>
    <w:rsid w:val="43852784"/>
    <w:rsid w:val="43911BC6"/>
    <w:rsid w:val="439C056B"/>
    <w:rsid w:val="43A001CA"/>
    <w:rsid w:val="43A7763B"/>
    <w:rsid w:val="43AC6A00"/>
    <w:rsid w:val="43AD2778"/>
    <w:rsid w:val="43B35FE0"/>
    <w:rsid w:val="43BD6E5F"/>
    <w:rsid w:val="43C33DCA"/>
    <w:rsid w:val="43CA332A"/>
    <w:rsid w:val="43CB4345"/>
    <w:rsid w:val="43CC52F4"/>
    <w:rsid w:val="43D63A7D"/>
    <w:rsid w:val="43D74E11"/>
    <w:rsid w:val="43D96E6A"/>
    <w:rsid w:val="43DB5141"/>
    <w:rsid w:val="43DD46A6"/>
    <w:rsid w:val="43E710B6"/>
    <w:rsid w:val="43F16B09"/>
    <w:rsid w:val="43F25EF5"/>
    <w:rsid w:val="43FA732A"/>
    <w:rsid w:val="44046CFA"/>
    <w:rsid w:val="440B79EF"/>
    <w:rsid w:val="441F1474"/>
    <w:rsid w:val="44235A84"/>
    <w:rsid w:val="44242A3A"/>
    <w:rsid w:val="44255188"/>
    <w:rsid w:val="442577CC"/>
    <w:rsid w:val="442A5A15"/>
    <w:rsid w:val="44315157"/>
    <w:rsid w:val="44323381"/>
    <w:rsid w:val="443553D6"/>
    <w:rsid w:val="443640EC"/>
    <w:rsid w:val="443B39D0"/>
    <w:rsid w:val="443B6ACE"/>
    <w:rsid w:val="443D1CA4"/>
    <w:rsid w:val="443D3AFC"/>
    <w:rsid w:val="443E0904"/>
    <w:rsid w:val="443E17A2"/>
    <w:rsid w:val="443F7871"/>
    <w:rsid w:val="44483EC1"/>
    <w:rsid w:val="445157F9"/>
    <w:rsid w:val="4453331F"/>
    <w:rsid w:val="4456696C"/>
    <w:rsid w:val="44587568"/>
    <w:rsid w:val="445C6678"/>
    <w:rsid w:val="445D37BB"/>
    <w:rsid w:val="445F1470"/>
    <w:rsid w:val="445F7F16"/>
    <w:rsid w:val="446217C8"/>
    <w:rsid w:val="4462484A"/>
    <w:rsid w:val="44676DCB"/>
    <w:rsid w:val="44723EA2"/>
    <w:rsid w:val="44784B34"/>
    <w:rsid w:val="447B4624"/>
    <w:rsid w:val="447D65EE"/>
    <w:rsid w:val="448736B1"/>
    <w:rsid w:val="448E1D24"/>
    <w:rsid w:val="448F2126"/>
    <w:rsid w:val="44937BC0"/>
    <w:rsid w:val="44937E24"/>
    <w:rsid w:val="44986938"/>
    <w:rsid w:val="449A71A0"/>
    <w:rsid w:val="449C4CC6"/>
    <w:rsid w:val="449D27EC"/>
    <w:rsid w:val="44A1052F"/>
    <w:rsid w:val="44A40D42"/>
    <w:rsid w:val="44A667A7"/>
    <w:rsid w:val="44B02520"/>
    <w:rsid w:val="44C141C3"/>
    <w:rsid w:val="44C14C36"/>
    <w:rsid w:val="44CB6195"/>
    <w:rsid w:val="44CE0BF8"/>
    <w:rsid w:val="44CE660D"/>
    <w:rsid w:val="44D02D32"/>
    <w:rsid w:val="44D46486"/>
    <w:rsid w:val="44D73F50"/>
    <w:rsid w:val="44DC0B83"/>
    <w:rsid w:val="44DF4BB3"/>
    <w:rsid w:val="44DF6586"/>
    <w:rsid w:val="44E7318D"/>
    <w:rsid w:val="44E86501"/>
    <w:rsid w:val="44EC107E"/>
    <w:rsid w:val="44ED51DB"/>
    <w:rsid w:val="44EF214B"/>
    <w:rsid w:val="44F97EDF"/>
    <w:rsid w:val="45154A79"/>
    <w:rsid w:val="45156055"/>
    <w:rsid w:val="45156827"/>
    <w:rsid w:val="45197B5B"/>
    <w:rsid w:val="452151CC"/>
    <w:rsid w:val="45232CF2"/>
    <w:rsid w:val="45246A6A"/>
    <w:rsid w:val="45280308"/>
    <w:rsid w:val="452E1696"/>
    <w:rsid w:val="453A003B"/>
    <w:rsid w:val="453C0257"/>
    <w:rsid w:val="453F4DD3"/>
    <w:rsid w:val="45450B59"/>
    <w:rsid w:val="454620AD"/>
    <w:rsid w:val="45464C32"/>
    <w:rsid w:val="454E2756"/>
    <w:rsid w:val="455B6133"/>
    <w:rsid w:val="45622B78"/>
    <w:rsid w:val="456A4DC4"/>
    <w:rsid w:val="456C1406"/>
    <w:rsid w:val="45837C34"/>
    <w:rsid w:val="458D4F3F"/>
    <w:rsid w:val="458E4869"/>
    <w:rsid w:val="458F65D9"/>
    <w:rsid w:val="45965BB9"/>
    <w:rsid w:val="459D4D36"/>
    <w:rsid w:val="45A4384A"/>
    <w:rsid w:val="45A96EDA"/>
    <w:rsid w:val="45AA78B4"/>
    <w:rsid w:val="45AD09A6"/>
    <w:rsid w:val="45B11308"/>
    <w:rsid w:val="45B1654F"/>
    <w:rsid w:val="45B20519"/>
    <w:rsid w:val="45B8488C"/>
    <w:rsid w:val="45C95510"/>
    <w:rsid w:val="45CC15DB"/>
    <w:rsid w:val="45D109A0"/>
    <w:rsid w:val="45D1274E"/>
    <w:rsid w:val="45D33185"/>
    <w:rsid w:val="45D73ADC"/>
    <w:rsid w:val="45E53379"/>
    <w:rsid w:val="45F11042"/>
    <w:rsid w:val="45F14B9E"/>
    <w:rsid w:val="45F45869"/>
    <w:rsid w:val="45F96148"/>
    <w:rsid w:val="45FC0381"/>
    <w:rsid w:val="45FF375F"/>
    <w:rsid w:val="46024FFD"/>
    <w:rsid w:val="46035E4B"/>
    <w:rsid w:val="460525CD"/>
    <w:rsid w:val="46062C07"/>
    <w:rsid w:val="46072613"/>
    <w:rsid w:val="460C19D8"/>
    <w:rsid w:val="461710E5"/>
    <w:rsid w:val="461855F7"/>
    <w:rsid w:val="46294EC2"/>
    <w:rsid w:val="463364C0"/>
    <w:rsid w:val="46367216"/>
    <w:rsid w:val="4638492B"/>
    <w:rsid w:val="463D1F4F"/>
    <w:rsid w:val="46437606"/>
    <w:rsid w:val="464457BA"/>
    <w:rsid w:val="464D3FEA"/>
    <w:rsid w:val="46516CA2"/>
    <w:rsid w:val="4654337F"/>
    <w:rsid w:val="46585D6C"/>
    <w:rsid w:val="465A4BC4"/>
    <w:rsid w:val="465B0A18"/>
    <w:rsid w:val="465B196D"/>
    <w:rsid w:val="46713F31"/>
    <w:rsid w:val="467579B4"/>
    <w:rsid w:val="467A2DE5"/>
    <w:rsid w:val="467C6146"/>
    <w:rsid w:val="467D4684"/>
    <w:rsid w:val="46811F3E"/>
    <w:rsid w:val="46821C9A"/>
    <w:rsid w:val="46853538"/>
    <w:rsid w:val="468C0D6B"/>
    <w:rsid w:val="469D0194"/>
    <w:rsid w:val="46AB54E5"/>
    <w:rsid w:val="46AC4F69"/>
    <w:rsid w:val="46AC6D17"/>
    <w:rsid w:val="46B03E5E"/>
    <w:rsid w:val="46BF2EEE"/>
    <w:rsid w:val="46C87FF5"/>
    <w:rsid w:val="46C91677"/>
    <w:rsid w:val="46D87B0C"/>
    <w:rsid w:val="46DA1FB9"/>
    <w:rsid w:val="46DB30D4"/>
    <w:rsid w:val="46DD5122"/>
    <w:rsid w:val="46E6053D"/>
    <w:rsid w:val="46EB5A91"/>
    <w:rsid w:val="46EE655F"/>
    <w:rsid w:val="46FB55D2"/>
    <w:rsid w:val="46FD1503"/>
    <w:rsid w:val="47071C74"/>
    <w:rsid w:val="4707219F"/>
    <w:rsid w:val="471054F8"/>
    <w:rsid w:val="4719204C"/>
    <w:rsid w:val="471E5E67"/>
    <w:rsid w:val="4723522B"/>
    <w:rsid w:val="472901B7"/>
    <w:rsid w:val="472E3BD0"/>
    <w:rsid w:val="472F3046"/>
    <w:rsid w:val="47352751"/>
    <w:rsid w:val="473C00AD"/>
    <w:rsid w:val="474E39F5"/>
    <w:rsid w:val="47504D8D"/>
    <w:rsid w:val="475C698F"/>
    <w:rsid w:val="475F1FDB"/>
    <w:rsid w:val="476002D2"/>
    <w:rsid w:val="47605A10"/>
    <w:rsid w:val="47680E90"/>
    <w:rsid w:val="47680EBB"/>
    <w:rsid w:val="47744EFD"/>
    <w:rsid w:val="47745A86"/>
    <w:rsid w:val="47786CD0"/>
    <w:rsid w:val="477C24BE"/>
    <w:rsid w:val="479B74B7"/>
    <w:rsid w:val="479C6D8B"/>
    <w:rsid w:val="47A52DC3"/>
    <w:rsid w:val="47B972D2"/>
    <w:rsid w:val="47CA1B4A"/>
    <w:rsid w:val="47CE7B04"/>
    <w:rsid w:val="47D22BC7"/>
    <w:rsid w:val="47D567FA"/>
    <w:rsid w:val="47D66F89"/>
    <w:rsid w:val="47D74267"/>
    <w:rsid w:val="47E03A30"/>
    <w:rsid w:val="47EE40C4"/>
    <w:rsid w:val="47EF3AA7"/>
    <w:rsid w:val="47EF7803"/>
    <w:rsid w:val="4800012E"/>
    <w:rsid w:val="480A1F47"/>
    <w:rsid w:val="480E6E35"/>
    <w:rsid w:val="481535EE"/>
    <w:rsid w:val="48175F8B"/>
    <w:rsid w:val="481D45BE"/>
    <w:rsid w:val="481D4A12"/>
    <w:rsid w:val="48205C0E"/>
    <w:rsid w:val="48223734"/>
    <w:rsid w:val="48345216"/>
    <w:rsid w:val="483C70DD"/>
    <w:rsid w:val="484721EA"/>
    <w:rsid w:val="484908DB"/>
    <w:rsid w:val="484B4D8D"/>
    <w:rsid w:val="4851461E"/>
    <w:rsid w:val="485A4A92"/>
    <w:rsid w:val="485A79CB"/>
    <w:rsid w:val="485D476D"/>
    <w:rsid w:val="485D651B"/>
    <w:rsid w:val="4868640E"/>
    <w:rsid w:val="48713109"/>
    <w:rsid w:val="4871646A"/>
    <w:rsid w:val="487970CD"/>
    <w:rsid w:val="487E2EFD"/>
    <w:rsid w:val="488022AC"/>
    <w:rsid w:val="48820171"/>
    <w:rsid w:val="4887454E"/>
    <w:rsid w:val="4888456C"/>
    <w:rsid w:val="48A51C70"/>
    <w:rsid w:val="48A524D6"/>
    <w:rsid w:val="48AA54D8"/>
    <w:rsid w:val="48AB3C02"/>
    <w:rsid w:val="48B12F1D"/>
    <w:rsid w:val="48B2721C"/>
    <w:rsid w:val="48B85E47"/>
    <w:rsid w:val="48BC66EE"/>
    <w:rsid w:val="48BF2D31"/>
    <w:rsid w:val="48C26CC5"/>
    <w:rsid w:val="48C77A88"/>
    <w:rsid w:val="48CA4EAD"/>
    <w:rsid w:val="48D93D7E"/>
    <w:rsid w:val="48DD3AFF"/>
    <w:rsid w:val="48E00EFA"/>
    <w:rsid w:val="48E5096A"/>
    <w:rsid w:val="48E93727"/>
    <w:rsid w:val="48F6071D"/>
    <w:rsid w:val="48F609CD"/>
    <w:rsid w:val="48FA1FBB"/>
    <w:rsid w:val="48FD7CFE"/>
    <w:rsid w:val="49025314"/>
    <w:rsid w:val="49064E04"/>
    <w:rsid w:val="49095033"/>
    <w:rsid w:val="491312CF"/>
    <w:rsid w:val="49214B3A"/>
    <w:rsid w:val="492A3ABB"/>
    <w:rsid w:val="492D0FDA"/>
    <w:rsid w:val="492E6109"/>
    <w:rsid w:val="492E6984"/>
    <w:rsid w:val="493108C7"/>
    <w:rsid w:val="49320E3E"/>
    <w:rsid w:val="49353CB9"/>
    <w:rsid w:val="49393B07"/>
    <w:rsid w:val="493B4F03"/>
    <w:rsid w:val="493C6A78"/>
    <w:rsid w:val="493E459E"/>
    <w:rsid w:val="493F0316"/>
    <w:rsid w:val="495101BA"/>
    <w:rsid w:val="49555444"/>
    <w:rsid w:val="495723CC"/>
    <w:rsid w:val="49586595"/>
    <w:rsid w:val="49634005"/>
    <w:rsid w:val="49656BC0"/>
    <w:rsid w:val="4968786D"/>
    <w:rsid w:val="496A5F78"/>
    <w:rsid w:val="496C1724"/>
    <w:rsid w:val="49757894"/>
    <w:rsid w:val="49785C10"/>
    <w:rsid w:val="497A6D30"/>
    <w:rsid w:val="497A75A0"/>
    <w:rsid w:val="497E0E3E"/>
    <w:rsid w:val="49883A6B"/>
    <w:rsid w:val="498A7175"/>
    <w:rsid w:val="49971F00"/>
    <w:rsid w:val="499804E8"/>
    <w:rsid w:val="499A554C"/>
    <w:rsid w:val="499D53D9"/>
    <w:rsid w:val="49A12AC4"/>
    <w:rsid w:val="49A308A5"/>
    <w:rsid w:val="49B4660E"/>
    <w:rsid w:val="49C0011B"/>
    <w:rsid w:val="49C2281B"/>
    <w:rsid w:val="49C371CF"/>
    <w:rsid w:val="49CB3958"/>
    <w:rsid w:val="49CF3D92"/>
    <w:rsid w:val="49D07257"/>
    <w:rsid w:val="49D26F45"/>
    <w:rsid w:val="49D46CB0"/>
    <w:rsid w:val="49D66254"/>
    <w:rsid w:val="49DD5ACD"/>
    <w:rsid w:val="49DE368B"/>
    <w:rsid w:val="49F66C1B"/>
    <w:rsid w:val="49F75E2D"/>
    <w:rsid w:val="49F77BEA"/>
    <w:rsid w:val="49F8145A"/>
    <w:rsid w:val="49FA5FEB"/>
    <w:rsid w:val="4A011472"/>
    <w:rsid w:val="4A050C18"/>
    <w:rsid w:val="4A054B02"/>
    <w:rsid w:val="4A064990"/>
    <w:rsid w:val="4A1672C9"/>
    <w:rsid w:val="4A182708"/>
    <w:rsid w:val="4A1F71D6"/>
    <w:rsid w:val="4A205A52"/>
    <w:rsid w:val="4A225C6E"/>
    <w:rsid w:val="4A2F53F3"/>
    <w:rsid w:val="4A3414FD"/>
    <w:rsid w:val="4A370FED"/>
    <w:rsid w:val="4A3D2296"/>
    <w:rsid w:val="4A40551E"/>
    <w:rsid w:val="4A410A06"/>
    <w:rsid w:val="4A4534F8"/>
    <w:rsid w:val="4A4D0548"/>
    <w:rsid w:val="4A532E7E"/>
    <w:rsid w:val="4A5C2781"/>
    <w:rsid w:val="4A5E657A"/>
    <w:rsid w:val="4A6532F8"/>
    <w:rsid w:val="4A6718D3"/>
    <w:rsid w:val="4A677B24"/>
    <w:rsid w:val="4A6873F9"/>
    <w:rsid w:val="4A722025"/>
    <w:rsid w:val="4A771C12"/>
    <w:rsid w:val="4A795D9B"/>
    <w:rsid w:val="4A7F4E6E"/>
    <w:rsid w:val="4A863467"/>
    <w:rsid w:val="4A8E3303"/>
    <w:rsid w:val="4A924464"/>
    <w:rsid w:val="4A9E77DA"/>
    <w:rsid w:val="4AA108A3"/>
    <w:rsid w:val="4AA2290B"/>
    <w:rsid w:val="4AA30431"/>
    <w:rsid w:val="4AA956FA"/>
    <w:rsid w:val="4AAE4147"/>
    <w:rsid w:val="4AAE5336"/>
    <w:rsid w:val="4AB006E9"/>
    <w:rsid w:val="4AB131AC"/>
    <w:rsid w:val="4AB83EDC"/>
    <w:rsid w:val="4AB902FA"/>
    <w:rsid w:val="4AB91C59"/>
    <w:rsid w:val="4ACE31B8"/>
    <w:rsid w:val="4AD14F9E"/>
    <w:rsid w:val="4AD54C00"/>
    <w:rsid w:val="4AD60806"/>
    <w:rsid w:val="4AD64009"/>
    <w:rsid w:val="4ADD7DE7"/>
    <w:rsid w:val="4ADF590D"/>
    <w:rsid w:val="4ADF6F8E"/>
    <w:rsid w:val="4AE41175"/>
    <w:rsid w:val="4AE42F23"/>
    <w:rsid w:val="4AEE477A"/>
    <w:rsid w:val="4AEE78FE"/>
    <w:rsid w:val="4AF8077D"/>
    <w:rsid w:val="4AFA62A3"/>
    <w:rsid w:val="4AFB026D"/>
    <w:rsid w:val="4AFD2237"/>
    <w:rsid w:val="4AFD23DC"/>
    <w:rsid w:val="4B032666"/>
    <w:rsid w:val="4B0D06CC"/>
    <w:rsid w:val="4B0D4F28"/>
    <w:rsid w:val="4B1032B0"/>
    <w:rsid w:val="4B1F0217"/>
    <w:rsid w:val="4B2072B5"/>
    <w:rsid w:val="4B20746B"/>
    <w:rsid w:val="4B225D19"/>
    <w:rsid w:val="4B271062"/>
    <w:rsid w:val="4B2C4CC9"/>
    <w:rsid w:val="4B2D30CB"/>
    <w:rsid w:val="4B301ACF"/>
    <w:rsid w:val="4B3135D5"/>
    <w:rsid w:val="4B337A07"/>
    <w:rsid w:val="4B3C128B"/>
    <w:rsid w:val="4B3C501C"/>
    <w:rsid w:val="4B43686F"/>
    <w:rsid w:val="4B46215F"/>
    <w:rsid w:val="4B50680B"/>
    <w:rsid w:val="4B582BCD"/>
    <w:rsid w:val="4B5859EE"/>
    <w:rsid w:val="4B5A5567"/>
    <w:rsid w:val="4B6A35F4"/>
    <w:rsid w:val="4B6A369F"/>
    <w:rsid w:val="4B71112D"/>
    <w:rsid w:val="4B717309"/>
    <w:rsid w:val="4B72135E"/>
    <w:rsid w:val="4B8464B4"/>
    <w:rsid w:val="4B97407A"/>
    <w:rsid w:val="4B985147"/>
    <w:rsid w:val="4B9C34EA"/>
    <w:rsid w:val="4BA37FEB"/>
    <w:rsid w:val="4BA426B2"/>
    <w:rsid w:val="4BA77DDA"/>
    <w:rsid w:val="4BAB1C93"/>
    <w:rsid w:val="4BAE4439"/>
    <w:rsid w:val="4BB24DCF"/>
    <w:rsid w:val="4BB7357F"/>
    <w:rsid w:val="4BBC7BF0"/>
    <w:rsid w:val="4BBF74EC"/>
    <w:rsid w:val="4BC62629"/>
    <w:rsid w:val="4BCD77D6"/>
    <w:rsid w:val="4BD2790E"/>
    <w:rsid w:val="4BDB5F41"/>
    <w:rsid w:val="4BDE5BC4"/>
    <w:rsid w:val="4BDF36EB"/>
    <w:rsid w:val="4BE17463"/>
    <w:rsid w:val="4BE64A79"/>
    <w:rsid w:val="4BE807F1"/>
    <w:rsid w:val="4BEF7DD1"/>
    <w:rsid w:val="4BF35792"/>
    <w:rsid w:val="4BF559FF"/>
    <w:rsid w:val="4BF841D3"/>
    <w:rsid w:val="4C05180D"/>
    <w:rsid w:val="4C075DB9"/>
    <w:rsid w:val="4C08500C"/>
    <w:rsid w:val="4C1415E6"/>
    <w:rsid w:val="4C1C50AE"/>
    <w:rsid w:val="4C2869FC"/>
    <w:rsid w:val="4C3B4FDC"/>
    <w:rsid w:val="4C456D64"/>
    <w:rsid w:val="4C4579F1"/>
    <w:rsid w:val="4C46543A"/>
    <w:rsid w:val="4C481290"/>
    <w:rsid w:val="4C510B66"/>
    <w:rsid w:val="4C5145E8"/>
    <w:rsid w:val="4C575977"/>
    <w:rsid w:val="4C5E497C"/>
    <w:rsid w:val="4C6B2AB3"/>
    <w:rsid w:val="4C6B4A07"/>
    <w:rsid w:val="4C6E0C92"/>
    <w:rsid w:val="4C72630D"/>
    <w:rsid w:val="4C7C7C27"/>
    <w:rsid w:val="4C7E2F03"/>
    <w:rsid w:val="4C8147A2"/>
    <w:rsid w:val="4C83051A"/>
    <w:rsid w:val="4C8B180D"/>
    <w:rsid w:val="4C8E5EAB"/>
    <w:rsid w:val="4C96649F"/>
    <w:rsid w:val="4C995102"/>
    <w:rsid w:val="4C997ACD"/>
    <w:rsid w:val="4C9A68E4"/>
    <w:rsid w:val="4C9C5ACA"/>
    <w:rsid w:val="4CA74208"/>
    <w:rsid w:val="4CA85360"/>
    <w:rsid w:val="4CA87053"/>
    <w:rsid w:val="4CAC7A71"/>
    <w:rsid w:val="4CAE37E9"/>
    <w:rsid w:val="4CB6269D"/>
    <w:rsid w:val="4CB93F3C"/>
    <w:rsid w:val="4CBB18EA"/>
    <w:rsid w:val="4CD11285"/>
    <w:rsid w:val="4CD3115A"/>
    <w:rsid w:val="4CD40D75"/>
    <w:rsid w:val="4CD4216F"/>
    <w:rsid w:val="4CD77A52"/>
    <w:rsid w:val="4CE627DD"/>
    <w:rsid w:val="4CEA0599"/>
    <w:rsid w:val="4CEF5BAF"/>
    <w:rsid w:val="4CF431C6"/>
    <w:rsid w:val="4CF96DDA"/>
    <w:rsid w:val="4CFB0CBC"/>
    <w:rsid w:val="4D0039E7"/>
    <w:rsid w:val="4D007DBC"/>
    <w:rsid w:val="4D037E68"/>
    <w:rsid w:val="4D066AEF"/>
    <w:rsid w:val="4D067B4C"/>
    <w:rsid w:val="4D083ED2"/>
    <w:rsid w:val="4D144ECF"/>
    <w:rsid w:val="4D1A1298"/>
    <w:rsid w:val="4D1C1903"/>
    <w:rsid w:val="4D281F1A"/>
    <w:rsid w:val="4D3A40DE"/>
    <w:rsid w:val="4D4203D5"/>
    <w:rsid w:val="4D425B8B"/>
    <w:rsid w:val="4D466E89"/>
    <w:rsid w:val="4D487C17"/>
    <w:rsid w:val="4D495A2D"/>
    <w:rsid w:val="4D497A62"/>
    <w:rsid w:val="4D5437E0"/>
    <w:rsid w:val="4D6245D3"/>
    <w:rsid w:val="4D646E93"/>
    <w:rsid w:val="4D655613"/>
    <w:rsid w:val="4D672C56"/>
    <w:rsid w:val="4D697710"/>
    <w:rsid w:val="4D6B16DA"/>
    <w:rsid w:val="4D6C7200"/>
    <w:rsid w:val="4D707DE0"/>
    <w:rsid w:val="4D752558"/>
    <w:rsid w:val="4D84279B"/>
    <w:rsid w:val="4D89273B"/>
    <w:rsid w:val="4D8C6A55"/>
    <w:rsid w:val="4D953834"/>
    <w:rsid w:val="4D9B1A27"/>
    <w:rsid w:val="4D9C1893"/>
    <w:rsid w:val="4DAF41A0"/>
    <w:rsid w:val="4DB03590"/>
    <w:rsid w:val="4DB23354"/>
    <w:rsid w:val="4DB3691B"/>
    <w:rsid w:val="4DBE3EFF"/>
    <w:rsid w:val="4DC1579E"/>
    <w:rsid w:val="4DC42551"/>
    <w:rsid w:val="4DC8754E"/>
    <w:rsid w:val="4DCA5F72"/>
    <w:rsid w:val="4DCC3EF8"/>
    <w:rsid w:val="4DCE7B11"/>
    <w:rsid w:val="4DD54DA5"/>
    <w:rsid w:val="4DD97EC3"/>
    <w:rsid w:val="4DDB254D"/>
    <w:rsid w:val="4DDE00FE"/>
    <w:rsid w:val="4DDE38D0"/>
    <w:rsid w:val="4DE20732"/>
    <w:rsid w:val="4DE44FE8"/>
    <w:rsid w:val="4DED4BFE"/>
    <w:rsid w:val="4DEF5972"/>
    <w:rsid w:val="4DF72F6D"/>
    <w:rsid w:val="4DFA0CB0"/>
    <w:rsid w:val="4DFA480C"/>
    <w:rsid w:val="4DFF1AA1"/>
    <w:rsid w:val="4DFF5532"/>
    <w:rsid w:val="4E013DEC"/>
    <w:rsid w:val="4E0324FD"/>
    <w:rsid w:val="4E0D470F"/>
    <w:rsid w:val="4E10402F"/>
    <w:rsid w:val="4E122376"/>
    <w:rsid w:val="4E175B19"/>
    <w:rsid w:val="4E19322E"/>
    <w:rsid w:val="4E1C35CB"/>
    <w:rsid w:val="4E1C6E78"/>
    <w:rsid w:val="4E213F3E"/>
    <w:rsid w:val="4E30647F"/>
    <w:rsid w:val="4E310776"/>
    <w:rsid w:val="4E397133"/>
    <w:rsid w:val="4E3A10AC"/>
    <w:rsid w:val="4E3C6BD2"/>
    <w:rsid w:val="4E423C1B"/>
    <w:rsid w:val="4E45017D"/>
    <w:rsid w:val="4E520625"/>
    <w:rsid w:val="4E555EE6"/>
    <w:rsid w:val="4E573A0C"/>
    <w:rsid w:val="4E5B7900"/>
    <w:rsid w:val="4E5E2FEC"/>
    <w:rsid w:val="4E656129"/>
    <w:rsid w:val="4E671631"/>
    <w:rsid w:val="4E694BBA"/>
    <w:rsid w:val="4E6D29C4"/>
    <w:rsid w:val="4E807407"/>
    <w:rsid w:val="4E8B1908"/>
    <w:rsid w:val="4E901197"/>
    <w:rsid w:val="4E9702AC"/>
    <w:rsid w:val="4EA1672E"/>
    <w:rsid w:val="4EA57EB3"/>
    <w:rsid w:val="4EAC1CFB"/>
    <w:rsid w:val="4EB470B0"/>
    <w:rsid w:val="4EB52EAD"/>
    <w:rsid w:val="4EBA2DB7"/>
    <w:rsid w:val="4EC05A55"/>
    <w:rsid w:val="4ECB67EB"/>
    <w:rsid w:val="4ECC43FA"/>
    <w:rsid w:val="4ECF5C98"/>
    <w:rsid w:val="4ED07129"/>
    <w:rsid w:val="4ED11A10"/>
    <w:rsid w:val="4ED92673"/>
    <w:rsid w:val="4EDB4BC8"/>
    <w:rsid w:val="4EE10741"/>
    <w:rsid w:val="4EF46EAF"/>
    <w:rsid w:val="4EFF5D51"/>
    <w:rsid w:val="4F0164BF"/>
    <w:rsid w:val="4F022943"/>
    <w:rsid w:val="4F033DD3"/>
    <w:rsid w:val="4F0612C4"/>
    <w:rsid w:val="4F0771E0"/>
    <w:rsid w:val="4F0A6CD0"/>
    <w:rsid w:val="4F0F42E7"/>
    <w:rsid w:val="4F1638C7"/>
    <w:rsid w:val="4F1D497A"/>
    <w:rsid w:val="4F2259D5"/>
    <w:rsid w:val="4F226CD7"/>
    <w:rsid w:val="4F2A7373"/>
    <w:rsid w:val="4F2C4E99"/>
    <w:rsid w:val="4F2C4FC8"/>
    <w:rsid w:val="4F2D3DA8"/>
    <w:rsid w:val="4F35067F"/>
    <w:rsid w:val="4F381582"/>
    <w:rsid w:val="4F396A84"/>
    <w:rsid w:val="4F3E53F4"/>
    <w:rsid w:val="4F3F2E1E"/>
    <w:rsid w:val="4F440434"/>
    <w:rsid w:val="4F477943"/>
    <w:rsid w:val="4F495A4B"/>
    <w:rsid w:val="4F4C6417"/>
    <w:rsid w:val="4F504DE9"/>
    <w:rsid w:val="4F5368C9"/>
    <w:rsid w:val="4F552641"/>
    <w:rsid w:val="4F5A37B4"/>
    <w:rsid w:val="4F626B0C"/>
    <w:rsid w:val="4F701847"/>
    <w:rsid w:val="4F717B38"/>
    <w:rsid w:val="4F717EA3"/>
    <w:rsid w:val="4F791856"/>
    <w:rsid w:val="4F7A5C04"/>
    <w:rsid w:val="4F8612AD"/>
    <w:rsid w:val="4F894099"/>
    <w:rsid w:val="4F896D48"/>
    <w:rsid w:val="4F952A3E"/>
    <w:rsid w:val="4F980780"/>
    <w:rsid w:val="4F9B0FDE"/>
    <w:rsid w:val="4FA233AD"/>
    <w:rsid w:val="4FA354E5"/>
    <w:rsid w:val="4FA40ED3"/>
    <w:rsid w:val="4FA64C4B"/>
    <w:rsid w:val="4FA86E02"/>
    <w:rsid w:val="4FAF75AB"/>
    <w:rsid w:val="4FB05ACA"/>
    <w:rsid w:val="4FB2095F"/>
    <w:rsid w:val="4FB94960"/>
    <w:rsid w:val="4FBF5D0D"/>
    <w:rsid w:val="4FC972A7"/>
    <w:rsid w:val="4FCA33F8"/>
    <w:rsid w:val="4FCE5120"/>
    <w:rsid w:val="4FCE7CFE"/>
    <w:rsid w:val="4FDA66A3"/>
    <w:rsid w:val="4FE7363D"/>
    <w:rsid w:val="4FF359B6"/>
    <w:rsid w:val="4FF57980"/>
    <w:rsid w:val="4FF72501"/>
    <w:rsid w:val="4FF74123"/>
    <w:rsid w:val="4FF77255"/>
    <w:rsid w:val="50083DC8"/>
    <w:rsid w:val="500E10DF"/>
    <w:rsid w:val="500F0A42"/>
    <w:rsid w:val="500F0FD4"/>
    <w:rsid w:val="501778F7"/>
    <w:rsid w:val="501871CB"/>
    <w:rsid w:val="501A73E7"/>
    <w:rsid w:val="501E02B3"/>
    <w:rsid w:val="50210776"/>
    <w:rsid w:val="50265D8C"/>
    <w:rsid w:val="50273148"/>
    <w:rsid w:val="502913D8"/>
    <w:rsid w:val="502D711A"/>
    <w:rsid w:val="5031764D"/>
    <w:rsid w:val="50324731"/>
    <w:rsid w:val="50334005"/>
    <w:rsid w:val="50416722"/>
    <w:rsid w:val="5042414A"/>
    <w:rsid w:val="50454464"/>
    <w:rsid w:val="504B341D"/>
    <w:rsid w:val="505D3ECB"/>
    <w:rsid w:val="505F6CA7"/>
    <w:rsid w:val="50605FE1"/>
    <w:rsid w:val="50632DC2"/>
    <w:rsid w:val="506B269C"/>
    <w:rsid w:val="50720FD1"/>
    <w:rsid w:val="5073345A"/>
    <w:rsid w:val="50752389"/>
    <w:rsid w:val="5076035C"/>
    <w:rsid w:val="50790FCF"/>
    <w:rsid w:val="507B7E86"/>
    <w:rsid w:val="507C59AC"/>
    <w:rsid w:val="508A631B"/>
    <w:rsid w:val="5091017C"/>
    <w:rsid w:val="50952F83"/>
    <w:rsid w:val="50967210"/>
    <w:rsid w:val="50974594"/>
    <w:rsid w:val="509947B0"/>
    <w:rsid w:val="509A7982"/>
    <w:rsid w:val="509F545A"/>
    <w:rsid w:val="50A0099F"/>
    <w:rsid w:val="50A11925"/>
    <w:rsid w:val="50AD1835"/>
    <w:rsid w:val="50AF190C"/>
    <w:rsid w:val="50AF51FF"/>
    <w:rsid w:val="50B8382A"/>
    <w:rsid w:val="50B92583"/>
    <w:rsid w:val="50BA467C"/>
    <w:rsid w:val="50BC5E30"/>
    <w:rsid w:val="50BF61EE"/>
    <w:rsid w:val="50C8299F"/>
    <w:rsid w:val="50D17AA6"/>
    <w:rsid w:val="50D43A3A"/>
    <w:rsid w:val="50E71679"/>
    <w:rsid w:val="50EA5EA6"/>
    <w:rsid w:val="50EF2622"/>
    <w:rsid w:val="50EF617E"/>
    <w:rsid w:val="50F86935"/>
    <w:rsid w:val="50FE0CB7"/>
    <w:rsid w:val="50FE4613"/>
    <w:rsid w:val="5100482F"/>
    <w:rsid w:val="51063B27"/>
    <w:rsid w:val="510A2FB8"/>
    <w:rsid w:val="511432A7"/>
    <w:rsid w:val="511E7808"/>
    <w:rsid w:val="51213833"/>
    <w:rsid w:val="512322CB"/>
    <w:rsid w:val="51316796"/>
    <w:rsid w:val="51346287"/>
    <w:rsid w:val="513650B0"/>
    <w:rsid w:val="513B7615"/>
    <w:rsid w:val="513D0EC1"/>
    <w:rsid w:val="513E0EB3"/>
    <w:rsid w:val="514062EE"/>
    <w:rsid w:val="514141DD"/>
    <w:rsid w:val="51431550"/>
    <w:rsid w:val="51510631"/>
    <w:rsid w:val="51510BE7"/>
    <w:rsid w:val="5153495F"/>
    <w:rsid w:val="51577749"/>
    <w:rsid w:val="515E0756"/>
    <w:rsid w:val="515F18F0"/>
    <w:rsid w:val="516923D4"/>
    <w:rsid w:val="51713037"/>
    <w:rsid w:val="51732E0C"/>
    <w:rsid w:val="517A638F"/>
    <w:rsid w:val="518420AA"/>
    <w:rsid w:val="51850890"/>
    <w:rsid w:val="51937451"/>
    <w:rsid w:val="51954F77"/>
    <w:rsid w:val="519C09E5"/>
    <w:rsid w:val="51A43C7E"/>
    <w:rsid w:val="51A52CE0"/>
    <w:rsid w:val="51AC0513"/>
    <w:rsid w:val="51B52725"/>
    <w:rsid w:val="51B55619"/>
    <w:rsid w:val="51B746A8"/>
    <w:rsid w:val="51BF3DA2"/>
    <w:rsid w:val="51C27D36"/>
    <w:rsid w:val="51CB0999"/>
    <w:rsid w:val="51D830B6"/>
    <w:rsid w:val="51E0071F"/>
    <w:rsid w:val="51E347C2"/>
    <w:rsid w:val="51EC0A38"/>
    <w:rsid w:val="51EE6435"/>
    <w:rsid w:val="51F23E8F"/>
    <w:rsid w:val="51F42B99"/>
    <w:rsid w:val="51F63F4E"/>
    <w:rsid w:val="51F837D1"/>
    <w:rsid w:val="51FE1BA6"/>
    <w:rsid w:val="51FF1164"/>
    <w:rsid w:val="52097713"/>
    <w:rsid w:val="520E0886"/>
    <w:rsid w:val="52102850"/>
    <w:rsid w:val="52107E9A"/>
    <w:rsid w:val="52140592"/>
    <w:rsid w:val="521628AD"/>
    <w:rsid w:val="52173BDE"/>
    <w:rsid w:val="521A36CE"/>
    <w:rsid w:val="521B6ECB"/>
    <w:rsid w:val="521D4AE6"/>
    <w:rsid w:val="521F6F37"/>
    <w:rsid w:val="5224647B"/>
    <w:rsid w:val="52293911"/>
    <w:rsid w:val="522A0590"/>
    <w:rsid w:val="522C3C23"/>
    <w:rsid w:val="52311D3F"/>
    <w:rsid w:val="5233653E"/>
    <w:rsid w:val="5237602E"/>
    <w:rsid w:val="524C16E1"/>
    <w:rsid w:val="52630BD1"/>
    <w:rsid w:val="52645A0F"/>
    <w:rsid w:val="52697692"/>
    <w:rsid w:val="526F57C8"/>
    <w:rsid w:val="52711BCE"/>
    <w:rsid w:val="527949B6"/>
    <w:rsid w:val="527E5A0B"/>
    <w:rsid w:val="52884ADC"/>
    <w:rsid w:val="528D3D0D"/>
    <w:rsid w:val="528F15C5"/>
    <w:rsid w:val="528F7C18"/>
    <w:rsid w:val="529945F3"/>
    <w:rsid w:val="529D77FC"/>
    <w:rsid w:val="52A13BC2"/>
    <w:rsid w:val="52A21006"/>
    <w:rsid w:val="52A35472"/>
    <w:rsid w:val="52AA6800"/>
    <w:rsid w:val="52AC6214"/>
    <w:rsid w:val="52AF3E17"/>
    <w:rsid w:val="52BD34BD"/>
    <w:rsid w:val="52C87073"/>
    <w:rsid w:val="52CA2943"/>
    <w:rsid w:val="52CA6EA2"/>
    <w:rsid w:val="52DB10B0"/>
    <w:rsid w:val="52DB4C0C"/>
    <w:rsid w:val="52DC6673"/>
    <w:rsid w:val="52E64B11"/>
    <w:rsid w:val="52E7393E"/>
    <w:rsid w:val="52E910CF"/>
    <w:rsid w:val="52EA4E4F"/>
    <w:rsid w:val="52EE325A"/>
    <w:rsid w:val="52F04AE9"/>
    <w:rsid w:val="52F21F55"/>
    <w:rsid w:val="52FC5C5D"/>
    <w:rsid w:val="52FC6F07"/>
    <w:rsid w:val="53000B16"/>
    <w:rsid w:val="53032A36"/>
    <w:rsid w:val="53053B16"/>
    <w:rsid w:val="531043A0"/>
    <w:rsid w:val="5311062D"/>
    <w:rsid w:val="531225F7"/>
    <w:rsid w:val="531C6FD2"/>
    <w:rsid w:val="532A5B93"/>
    <w:rsid w:val="53346859"/>
    <w:rsid w:val="533C1FF3"/>
    <w:rsid w:val="533F163E"/>
    <w:rsid w:val="53402352"/>
    <w:rsid w:val="534D6F8E"/>
    <w:rsid w:val="53511372"/>
    <w:rsid w:val="53543B21"/>
    <w:rsid w:val="535624E4"/>
    <w:rsid w:val="535E7C97"/>
    <w:rsid w:val="536015B5"/>
    <w:rsid w:val="53702FD3"/>
    <w:rsid w:val="53713144"/>
    <w:rsid w:val="53746E0E"/>
    <w:rsid w:val="537806AC"/>
    <w:rsid w:val="537868FE"/>
    <w:rsid w:val="537B1F4B"/>
    <w:rsid w:val="53807561"/>
    <w:rsid w:val="5385213F"/>
    <w:rsid w:val="5387543C"/>
    <w:rsid w:val="538C5F06"/>
    <w:rsid w:val="538D7C23"/>
    <w:rsid w:val="538D7DE7"/>
    <w:rsid w:val="53911318"/>
    <w:rsid w:val="53980258"/>
    <w:rsid w:val="53A16DA2"/>
    <w:rsid w:val="53A21BCD"/>
    <w:rsid w:val="53A25729"/>
    <w:rsid w:val="53A360D8"/>
    <w:rsid w:val="53A40E0E"/>
    <w:rsid w:val="53AC47FA"/>
    <w:rsid w:val="53B37737"/>
    <w:rsid w:val="53BE52E3"/>
    <w:rsid w:val="53C65075"/>
    <w:rsid w:val="53C915F6"/>
    <w:rsid w:val="53CE7591"/>
    <w:rsid w:val="53D1600F"/>
    <w:rsid w:val="53DA1367"/>
    <w:rsid w:val="53E50FED"/>
    <w:rsid w:val="53E63809"/>
    <w:rsid w:val="53EB2FBE"/>
    <w:rsid w:val="53EB521C"/>
    <w:rsid w:val="53EF00E6"/>
    <w:rsid w:val="53EF6DA5"/>
    <w:rsid w:val="53FC269A"/>
    <w:rsid w:val="540168F4"/>
    <w:rsid w:val="54085ED4"/>
    <w:rsid w:val="541D1254"/>
    <w:rsid w:val="541F37B3"/>
    <w:rsid w:val="54297BF9"/>
    <w:rsid w:val="542B3809"/>
    <w:rsid w:val="54316AAD"/>
    <w:rsid w:val="543214BB"/>
    <w:rsid w:val="54336CC9"/>
    <w:rsid w:val="543F75C3"/>
    <w:rsid w:val="544E6F61"/>
    <w:rsid w:val="5455272D"/>
    <w:rsid w:val="545C3B2A"/>
    <w:rsid w:val="545F7ABE"/>
    <w:rsid w:val="546649A9"/>
    <w:rsid w:val="546C00AE"/>
    <w:rsid w:val="54705828"/>
    <w:rsid w:val="547A5087"/>
    <w:rsid w:val="547C41CC"/>
    <w:rsid w:val="548D0188"/>
    <w:rsid w:val="54931516"/>
    <w:rsid w:val="54A20CF1"/>
    <w:rsid w:val="54A31759"/>
    <w:rsid w:val="54A34230"/>
    <w:rsid w:val="54AE00FE"/>
    <w:rsid w:val="54AF6350"/>
    <w:rsid w:val="54B01375"/>
    <w:rsid w:val="54B45D49"/>
    <w:rsid w:val="54B83F4D"/>
    <w:rsid w:val="54BA54C6"/>
    <w:rsid w:val="54BA6AA3"/>
    <w:rsid w:val="54BB2F47"/>
    <w:rsid w:val="54BE6593"/>
    <w:rsid w:val="54C176FB"/>
    <w:rsid w:val="54C91FB4"/>
    <w:rsid w:val="54D23DEC"/>
    <w:rsid w:val="54D24E86"/>
    <w:rsid w:val="54D44008"/>
    <w:rsid w:val="54DA0EF3"/>
    <w:rsid w:val="54DA4AA4"/>
    <w:rsid w:val="54DC4C6B"/>
    <w:rsid w:val="54DF6509"/>
    <w:rsid w:val="54E86E55"/>
    <w:rsid w:val="54ED3248"/>
    <w:rsid w:val="54F3462C"/>
    <w:rsid w:val="54FC530D"/>
    <w:rsid w:val="54FD754D"/>
    <w:rsid w:val="55011664"/>
    <w:rsid w:val="550240DE"/>
    <w:rsid w:val="550541C2"/>
    <w:rsid w:val="55061CE8"/>
    <w:rsid w:val="550A17D8"/>
    <w:rsid w:val="550D12C8"/>
    <w:rsid w:val="55106513"/>
    <w:rsid w:val="55106A71"/>
    <w:rsid w:val="551750D6"/>
    <w:rsid w:val="551A0AAB"/>
    <w:rsid w:val="551B39E5"/>
    <w:rsid w:val="55212F4E"/>
    <w:rsid w:val="5521466C"/>
    <w:rsid w:val="552863E9"/>
    <w:rsid w:val="55287EB0"/>
    <w:rsid w:val="552B4657"/>
    <w:rsid w:val="552F56E3"/>
    <w:rsid w:val="55356C1B"/>
    <w:rsid w:val="553B4087"/>
    <w:rsid w:val="553B7BE4"/>
    <w:rsid w:val="55432336"/>
    <w:rsid w:val="55491426"/>
    <w:rsid w:val="554B71F7"/>
    <w:rsid w:val="554C2501"/>
    <w:rsid w:val="555869E7"/>
    <w:rsid w:val="555D2250"/>
    <w:rsid w:val="5560764A"/>
    <w:rsid w:val="5563056F"/>
    <w:rsid w:val="55674E7D"/>
    <w:rsid w:val="55676C2B"/>
    <w:rsid w:val="556876AD"/>
    <w:rsid w:val="557355CF"/>
    <w:rsid w:val="557F5291"/>
    <w:rsid w:val="55821CB6"/>
    <w:rsid w:val="55825812"/>
    <w:rsid w:val="558D118A"/>
    <w:rsid w:val="55961E7F"/>
    <w:rsid w:val="559E27BF"/>
    <w:rsid w:val="55A57753"/>
    <w:rsid w:val="55A75279"/>
    <w:rsid w:val="55AD6C76"/>
    <w:rsid w:val="55B1434A"/>
    <w:rsid w:val="55CA0F67"/>
    <w:rsid w:val="55CD354A"/>
    <w:rsid w:val="55CD6ACB"/>
    <w:rsid w:val="55D549F2"/>
    <w:rsid w:val="55D6582E"/>
    <w:rsid w:val="55DA0770"/>
    <w:rsid w:val="55DD366F"/>
    <w:rsid w:val="55E0078B"/>
    <w:rsid w:val="55E4027B"/>
    <w:rsid w:val="55E93AE3"/>
    <w:rsid w:val="55E97640"/>
    <w:rsid w:val="55EB160A"/>
    <w:rsid w:val="55EC0491"/>
    <w:rsid w:val="55F93F3C"/>
    <w:rsid w:val="55FA184D"/>
    <w:rsid w:val="55FC4BDC"/>
    <w:rsid w:val="55FC6467"/>
    <w:rsid w:val="560763AD"/>
    <w:rsid w:val="56076C39"/>
    <w:rsid w:val="560B3A5A"/>
    <w:rsid w:val="560C77D2"/>
    <w:rsid w:val="56107D2A"/>
    <w:rsid w:val="5612303A"/>
    <w:rsid w:val="561D19DF"/>
    <w:rsid w:val="56252250"/>
    <w:rsid w:val="562C1C22"/>
    <w:rsid w:val="562C4601"/>
    <w:rsid w:val="563332FB"/>
    <w:rsid w:val="56335764"/>
    <w:rsid w:val="5645121E"/>
    <w:rsid w:val="56501D52"/>
    <w:rsid w:val="565166AD"/>
    <w:rsid w:val="56532714"/>
    <w:rsid w:val="565634E8"/>
    <w:rsid w:val="56591A8F"/>
    <w:rsid w:val="56633E3F"/>
    <w:rsid w:val="566E2014"/>
    <w:rsid w:val="56717635"/>
    <w:rsid w:val="56770AE3"/>
    <w:rsid w:val="56870A65"/>
    <w:rsid w:val="568B268E"/>
    <w:rsid w:val="568F6618"/>
    <w:rsid w:val="569357FD"/>
    <w:rsid w:val="56A143BE"/>
    <w:rsid w:val="56A33C92"/>
    <w:rsid w:val="56A47A0A"/>
    <w:rsid w:val="56A96DCF"/>
    <w:rsid w:val="56AD4B11"/>
    <w:rsid w:val="56AF60F7"/>
    <w:rsid w:val="56BA5480"/>
    <w:rsid w:val="56C03B12"/>
    <w:rsid w:val="56C41E5B"/>
    <w:rsid w:val="56C43C09"/>
    <w:rsid w:val="56C55419"/>
    <w:rsid w:val="56C7422E"/>
    <w:rsid w:val="56CB31E9"/>
    <w:rsid w:val="56CC38D1"/>
    <w:rsid w:val="56D41079"/>
    <w:rsid w:val="56EF512A"/>
    <w:rsid w:val="56F12E37"/>
    <w:rsid w:val="56F24C1A"/>
    <w:rsid w:val="56F402C5"/>
    <w:rsid w:val="56FC20F7"/>
    <w:rsid w:val="570861EB"/>
    <w:rsid w:val="570C5CDB"/>
    <w:rsid w:val="570D55B0"/>
    <w:rsid w:val="570E4683"/>
    <w:rsid w:val="571C1C97"/>
    <w:rsid w:val="571C2784"/>
    <w:rsid w:val="571C3A45"/>
    <w:rsid w:val="571E77BD"/>
    <w:rsid w:val="57261A40"/>
    <w:rsid w:val="57304F35"/>
    <w:rsid w:val="57311EE8"/>
    <w:rsid w:val="573214BA"/>
    <w:rsid w:val="57347BEB"/>
    <w:rsid w:val="57392849"/>
    <w:rsid w:val="573A47F4"/>
    <w:rsid w:val="57415259"/>
    <w:rsid w:val="574C257C"/>
    <w:rsid w:val="5752558D"/>
    <w:rsid w:val="575431DF"/>
    <w:rsid w:val="575B4970"/>
    <w:rsid w:val="575D60AD"/>
    <w:rsid w:val="576176AA"/>
    <w:rsid w:val="5765719A"/>
    <w:rsid w:val="577473DD"/>
    <w:rsid w:val="577B33D6"/>
    <w:rsid w:val="577C581C"/>
    <w:rsid w:val="578C4726"/>
    <w:rsid w:val="579502B5"/>
    <w:rsid w:val="57957137"/>
    <w:rsid w:val="579615CE"/>
    <w:rsid w:val="57A71560"/>
    <w:rsid w:val="57AD0F6C"/>
    <w:rsid w:val="57B34E87"/>
    <w:rsid w:val="57BD48EF"/>
    <w:rsid w:val="57D04F5B"/>
    <w:rsid w:val="57D305A7"/>
    <w:rsid w:val="57D946CA"/>
    <w:rsid w:val="57DA73A0"/>
    <w:rsid w:val="57E64F8B"/>
    <w:rsid w:val="57E8209D"/>
    <w:rsid w:val="57EC78BB"/>
    <w:rsid w:val="57F10A2D"/>
    <w:rsid w:val="57FE314A"/>
    <w:rsid w:val="58020E8D"/>
    <w:rsid w:val="580F7106"/>
    <w:rsid w:val="58131835"/>
    <w:rsid w:val="581563B3"/>
    <w:rsid w:val="58156E12"/>
    <w:rsid w:val="581B1F4E"/>
    <w:rsid w:val="581B5AAA"/>
    <w:rsid w:val="5828345F"/>
    <w:rsid w:val="583026E4"/>
    <w:rsid w:val="58311544"/>
    <w:rsid w:val="583152CE"/>
    <w:rsid w:val="583345AB"/>
    <w:rsid w:val="58345199"/>
    <w:rsid w:val="58354B63"/>
    <w:rsid w:val="58357612"/>
    <w:rsid w:val="58421289"/>
    <w:rsid w:val="58450D79"/>
    <w:rsid w:val="58501BF8"/>
    <w:rsid w:val="5853793A"/>
    <w:rsid w:val="5855720E"/>
    <w:rsid w:val="585711D8"/>
    <w:rsid w:val="58580AAD"/>
    <w:rsid w:val="58590BB5"/>
    <w:rsid w:val="58614B55"/>
    <w:rsid w:val="5862192B"/>
    <w:rsid w:val="58627B7D"/>
    <w:rsid w:val="58660CE3"/>
    <w:rsid w:val="5866141B"/>
    <w:rsid w:val="58686251"/>
    <w:rsid w:val="58733B38"/>
    <w:rsid w:val="5877494F"/>
    <w:rsid w:val="587A07F0"/>
    <w:rsid w:val="587F072F"/>
    <w:rsid w:val="587F428B"/>
    <w:rsid w:val="58844FD6"/>
    <w:rsid w:val="58872B34"/>
    <w:rsid w:val="588751FD"/>
    <w:rsid w:val="58896EB8"/>
    <w:rsid w:val="588B432B"/>
    <w:rsid w:val="588F6E1D"/>
    <w:rsid w:val="588F6FE2"/>
    <w:rsid w:val="5898077D"/>
    <w:rsid w:val="589A2E73"/>
    <w:rsid w:val="58A0654B"/>
    <w:rsid w:val="58A21D92"/>
    <w:rsid w:val="58A40196"/>
    <w:rsid w:val="58A565DA"/>
    <w:rsid w:val="58A645EB"/>
    <w:rsid w:val="58AB7F08"/>
    <w:rsid w:val="58AC4CBD"/>
    <w:rsid w:val="58AE7FA4"/>
    <w:rsid w:val="58B3335B"/>
    <w:rsid w:val="58B8779D"/>
    <w:rsid w:val="58BC07AC"/>
    <w:rsid w:val="58C72BED"/>
    <w:rsid w:val="58CD149A"/>
    <w:rsid w:val="58CE6FC1"/>
    <w:rsid w:val="58D06B21"/>
    <w:rsid w:val="58D901AF"/>
    <w:rsid w:val="58D95C71"/>
    <w:rsid w:val="58DA3BB7"/>
    <w:rsid w:val="58E04ED5"/>
    <w:rsid w:val="58E14F46"/>
    <w:rsid w:val="58EB2E9D"/>
    <w:rsid w:val="58F32999"/>
    <w:rsid w:val="58F95A7C"/>
    <w:rsid w:val="58FA7DB6"/>
    <w:rsid w:val="5900361E"/>
    <w:rsid w:val="59012EF2"/>
    <w:rsid w:val="5902026F"/>
    <w:rsid w:val="590D1897"/>
    <w:rsid w:val="590E07A8"/>
    <w:rsid w:val="59154BEF"/>
    <w:rsid w:val="59162550"/>
    <w:rsid w:val="5919648E"/>
    <w:rsid w:val="59205A6E"/>
    <w:rsid w:val="592310BA"/>
    <w:rsid w:val="59285535"/>
    <w:rsid w:val="59301A29"/>
    <w:rsid w:val="5936007D"/>
    <w:rsid w:val="593651C5"/>
    <w:rsid w:val="593A20E1"/>
    <w:rsid w:val="593E5EF4"/>
    <w:rsid w:val="594939D2"/>
    <w:rsid w:val="594D25DB"/>
    <w:rsid w:val="59543849"/>
    <w:rsid w:val="59586497"/>
    <w:rsid w:val="595C1F06"/>
    <w:rsid w:val="596516D3"/>
    <w:rsid w:val="596A4F3B"/>
    <w:rsid w:val="596F4300"/>
    <w:rsid w:val="596F60AE"/>
    <w:rsid w:val="597D5AB7"/>
    <w:rsid w:val="597F7C59"/>
    <w:rsid w:val="598D76F3"/>
    <w:rsid w:val="598F1597"/>
    <w:rsid w:val="598F67FC"/>
    <w:rsid w:val="599259E9"/>
    <w:rsid w:val="59964FE0"/>
    <w:rsid w:val="599B3E92"/>
    <w:rsid w:val="599D770E"/>
    <w:rsid w:val="59A86EE7"/>
    <w:rsid w:val="59AB2256"/>
    <w:rsid w:val="59B03041"/>
    <w:rsid w:val="59B645DB"/>
    <w:rsid w:val="59BF6AD5"/>
    <w:rsid w:val="59C7015B"/>
    <w:rsid w:val="59C770EC"/>
    <w:rsid w:val="59C83A10"/>
    <w:rsid w:val="59C95F43"/>
    <w:rsid w:val="59C97EB4"/>
    <w:rsid w:val="59CD070B"/>
    <w:rsid w:val="59D17ED3"/>
    <w:rsid w:val="59D6437F"/>
    <w:rsid w:val="59DB1995"/>
    <w:rsid w:val="59DF76D7"/>
    <w:rsid w:val="59E96214"/>
    <w:rsid w:val="59EA1BD8"/>
    <w:rsid w:val="59F02FE1"/>
    <w:rsid w:val="59F45525"/>
    <w:rsid w:val="5A07278A"/>
    <w:rsid w:val="5A0B2A38"/>
    <w:rsid w:val="5A162CB9"/>
    <w:rsid w:val="5A1B0365"/>
    <w:rsid w:val="5A1F5392"/>
    <w:rsid w:val="5A206A87"/>
    <w:rsid w:val="5A2349E1"/>
    <w:rsid w:val="5A2823FD"/>
    <w:rsid w:val="5A2D0090"/>
    <w:rsid w:val="5A3A490E"/>
    <w:rsid w:val="5A3D7F5A"/>
    <w:rsid w:val="5A4237C2"/>
    <w:rsid w:val="5A494B51"/>
    <w:rsid w:val="5A4D7FA6"/>
    <w:rsid w:val="5A522F08"/>
    <w:rsid w:val="5A6D296A"/>
    <w:rsid w:val="5A71428A"/>
    <w:rsid w:val="5A7476F4"/>
    <w:rsid w:val="5A753B98"/>
    <w:rsid w:val="5A7D2A4C"/>
    <w:rsid w:val="5A7F0572"/>
    <w:rsid w:val="5A81078E"/>
    <w:rsid w:val="5A821CC5"/>
    <w:rsid w:val="5A841270"/>
    <w:rsid w:val="5A8958B5"/>
    <w:rsid w:val="5A8E625F"/>
    <w:rsid w:val="5A94756C"/>
    <w:rsid w:val="5A980B76"/>
    <w:rsid w:val="5AA1673B"/>
    <w:rsid w:val="5AA6585E"/>
    <w:rsid w:val="5AAF5B5F"/>
    <w:rsid w:val="5AB31D0A"/>
    <w:rsid w:val="5AB81CD6"/>
    <w:rsid w:val="5ABC17C7"/>
    <w:rsid w:val="5AC1682D"/>
    <w:rsid w:val="5AC60BF9"/>
    <w:rsid w:val="5AD05272"/>
    <w:rsid w:val="5ADA1C4D"/>
    <w:rsid w:val="5AE143DD"/>
    <w:rsid w:val="5AEC372E"/>
    <w:rsid w:val="5AF002EE"/>
    <w:rsid w:val="5AFF3461"/>
    <w:rsid w:val="5B04316E"/>
    <w:rsid w:val="5B0809A3"/>
    <w:rsid w:val="5B0A2B6C"/>
    <w:rsid w:val="5B154346"/>
    <w:rsid w:val="5B1E41F8"/>
    <w:rsid w:val="5B213CC9"/>
    <w:rsid w:val="5B270145"/>
    <w:rsid w:val="5B277F80"/>
    <w:rsid w:val="5B2E3407"/>
    <w:rsid w:val="5B2F6B51"/>
    <w:rsid w:val="5B31130A"/>
    <w:rsid w:val="5B3255E5"/>
    <w:rsid w:val="5B333B1C"/>
    <w:rsid w:val="5B345778"/>
    <w:rsid w:val="5B370E4D"/>
    <w:rsid w:val="5B3C6463"/>
    <w:rsid w:val="5B3D3F8A"/>
    <w:rsid w:val="5B432946"/>
    <w:rsid w:val="5B440AC5"/>
    <w:rsid w:val="5B4672E2"/>
    <w:rsid w:val="5B523ED9"/>
    <w:rsid w:val="5B555777"/>
    <w:rsid w:val="5B5A2D8E"/>
    <w:rsid w:val="5B696D82"/>
    <w:rsid w:val="5B6C3892"/>
    <w:rsid w:val="5B7420A1"/>
    <w:rsid w:val="5B793214"/>
    <w:rsid w:val="5B7D41AB"/>
    <w:rsid w:val="5B7F3410"/>
    <w:rsid w:val="5B871DD5"/>
    <w:rsid w:val="5B885B4D"/>
    <w:rsid w:val="5B8878FB"/>
    <w:rsid w:val="5B8B1199"/>
    <w:rsid w:val="5B8E1FDE"/>
    <w:rsid w:val="5BA0638D"/>
    <w:rsid w:val="5BA30291"/>
    <w:rsid w:val="5BA30756"/>
    <w:rsid w:val="5BA67D81"/>
    <w:rsid w:val="5BA74018"/>
    <w:rsid w:val="5BAA7871"/>
    <w:rsid w:val="5BAC126E"/>
    <w:rsid w:val="5BB0683A"/>
    <w:rsid w:val="5BB75BFE"/>
    <w:rsid w:val="5BC55123"/>
    <w:rsid w:val="5BC57B50"/>
    <w:rsid w:val="5BC621D1"/>
    <w:rsid w:val="5BCA3A6F"/>
    <w:rsid w:val="5BD052BE"/>
    <w:rsid w:val="5BD243A7"/>
    <w:rsid w:val="5BDE751B"/>
    <w:rsid w:val="5BE2479E"/>
    <w:rsid w:val="5BE25DF4"/>
    <w:rsid w:val="5BE34B31"/>
    <w:rsid w:val="5BED775E"/>
    <w:rsid w:val="5BEF7144"/>
    <w:rsid w:val="5BF7739A"/>
    <w:rsid w:val="5C05719D"/>
    <w:rsid w:val="5C0B7550"/>
    <w:rsid w:val="5C0C7656"/>
    <w:rsid w:val="5C180C7F"/>
    <w:rsid w:val="5C206FF9"/>
    <w:rsid w:val="5C2A3DC7"/>
    <w:rsid w:val="5C302BB6"/>
    <w:rsid w:val="5C3D2493"/>
    <w:rsid w:val="5C5477DD"/>
    <w:rsid w:val="5C6043D4"/>
    <w:rsid w:val="5C675762"/>
    <w:rsid w:val="5C73667E"/>
    <w:rsid w:val="5C757E7F"/>
    <w:rsid w:val="5C7E4623"/>
    <w:rsid w:val="5C815811"/>
    <w:rsid w:val="5C882D93"/>
    <w:rsid w:val="5C8B6116"/>
    <w:rsid w:val="5C8E5E6A"/>
    <w:rsid w:val="5C8F1BBA"/>
    <w:rsid w:val="5C9049BD"/>
    <w:rsid w:val="5C950521"/>
    <w:rsid w:val="5C9B19C2"/>
    <w:rsid w:val="5C9B365E"/>
    <w:rsid w:val="5CA770FE"/>
    <w:rsid w:val="5CA95D7B"/>
    <w:rsid w:val="5CB36BF9"/>
    <w:rsid w:val="5CBF1844"/>
    <w:rsid w:val="5CCE57E1"/>
    <w:rsid w:val="5CD5091E"/>
    <w:rsid w:val="5CD5434D"/>
    <w:rsid w:val="5CD76156"/>
    <w:rsid w:val="5CDA23D8"/>
    <w:rsid w:val="5CDA5F34"/>
    <w:rsid w:val="5CDB3A5A"/>
    <w:rsid w:val="5CE6155E"/>
    <w:rsid w:val="5CE8654D"/>
    <w:rsid w:val="5CE868B8"/>
    <w:rsid w:val="5CE943C9"/>
    <w:rsid w:val="5CEA58C1"/>
    <w:rsid w:val="5CEB2603"/>
    <w:rsid w:val="5CF211B2"/>
    <w:rsid w:val="5CF95962"/>
    <w:rsid w:val="5CFC7735"/>
    <w:rsid w:val="5D052C7B"/>
    <w:rsid w:val="5D0905C7"/>
    <w:rsid w:val="5D0E2082"/>
    <w:rsid w:val="5D144052"/>
    <w:rsid w:val="5D184CAE"/>
    <w:rsid w:val="5D1A7137"/>
    <w:rsid w:val="5D1E0517"/>
    <w:rsid w:val="5D2109E2"/>
    <w:rsid w:val="5D213B63"/>
    <w:rsid w:val="5D273DE0"/>
    <w:rsid w:val="5D290C69"/>
    <w:rsid w:val="5D29597E"/>
    <w:rsid w:val="5D296EBB"/>
    <w:rsid w:val="5D2A6606"/>
    <w:rsid w:val="5D2B4EC5"/>
    <w:rsid w:val="5D2B66A8"/>
    <w:rsid w:val="5D327B1E"/>
    <w:rsid w:val="5D333896"/>
    <w:rsid w:val="5D335644"/>
    <w:rsid w:val="5D37777A"/>
    <w:rsid w:val="5D3975CC"/>
    <w:rsid w:val="5D40331D"/>
    <w:rsid w:val="5D405402"/>
    <w:rsid w:val="5D431D2B"/>
    <w:rsid w:val="5D4930BA"/>
    <w:rsid w:val="5D504448"/>
    <w:rsid w:val="5D5E4DB7"/>
    <w:rsid w:val="5D6A48A8"/>
    <w:rsid w:val="5D6A5CF1"/>
    <w:rsid w:val="5D6E1073"/>
    <w:rsid w:val="5D706060"/>
    <w:rsid w:val="5D746389"/>
    <w:rsid w:val="5D7F697E"/>
    <w:rsid w:val="5D7F6ADB"/>
    <w:rsid w:val="5D7F7E98"/>
    <w:rsid w:val="5D8B36D2"/>
    <w:rsid w:val="5D8D2FA6"/>
    <w:rsid w:val="5D92680F"/>
    <w:rsid w:val="5DA100D9"/>
    <w:rsid w:val="5DA6050C"/>
    <w:rsid w:val="5DA84284"/>
    <w:rsid w:val="5DA97E4D"/>
    <w:rsid w:val="5DAA1DAA"/>
    <w:rsid w:val="5DB165CC"/>
    <w:rsid w:val="5DBA7B13"/>
    <w:rsid w:val="5DC012A8"/>
    <w:rsid w:val="5DC36F01"/>
    <w:rsid w:val="5DC66F63"/>
    <w:rsid w:val="5DC75ECA"/>
    <w:rsid w:val="5DCA5FA9"/>
    <w:rsid w:val="5DCA7D57"/>
    <w:rsid w:val="5DD1318C"/>
    <w:rsid w:val="5DD37E81"/>
    <w:rsid w:val="5DD92690"/>
    <w:rsid w:val="5DE01F55"/>
    <w:rsid w:val="5DE60909"/>
    <w:rsid w:val="5DE66B5A"/>
    <w:rsid w:val="5DFB460D"/>
    <w:rsid w:val="5DFE20F6"/>
    <w:rsid w:val="5E055233"/>
    <w:rsid w:val="5E061A7C"/>
    <w:rsid w:val="5E0A5EAD"/>
    <w:rsid w:val="5E0D2339"/>
    <w:rsid w:val="5E0F2B18"/>
    <w:rsid w:val="5E1611EE"/>
    <w:rsid w:val="5E180D61"/>
    <w:rsid w:val="5E1A6610"/>
    <w:rsid w:val="5E231B5D"/>
    <w:rsid w:val="5E242747"/>
    <w:rsid w:val="5E280F21"/>
    <w:rsid w:val="5E2D3676"/>
    <w:rsid w:val="5E2D4789"/>
    <w:rsid w:val="5E327FF5"/>
    <w:rsid w:val="5E343D6A"/>
    <w:rsid w:val="5E3E5AF5"/>
    <w:rsid w:val="5E3E6996"/>
    <w:rsid w:val="5E455DA7"/>
    <w:rsid w:val="5E473A9D"/>
    <w:rsid w:val="5E4E6BDA"/>
    <w:rsid w:val="5E530C5B"/>
    <w:rsid w:val="5E530FC6"/>
    <w:rsid w:val="5E532442"/>
    <w:rsid w:val="5E573553"/>
    <w:rsid w:val="5E5E2B95"/>
    <w:rsid w:val="5E6924A2"/>
    <w:rsid w:val="5E695530"/>
    <w:rsid w:val="5E785A05"/>
    <w:rsid w:val="5E79352B"/>
    <w:rsid w:val="5E7E0C7E"/>
    <w:rsid w:val="5E8E5228"/>
    <w:rsid w:val="5E954808"/>
    <w:rsid w:val="5E9B16F3"/>
    <w:rsid w:val="5EB033F0"/>
    <w:rsid w:val="5EB153BA"/>
    <w:rsid w:val="5ECA1FD8"/>
    <w:rsid w:val="5ED03A93"/>
    <w:rsid w:val="5ED7628F"/>
    <w:rsid w:val="5EE237C6"/>
    <w:rsid w:val="5EE40F07"/>
    <w:rsid w:val="5EF23DBA"/>
    <w:rsid w:val="5EF332DD"/>
    <w:rsid w:val="5F047298"/>
    <w:rsid w:val="5F103E8F"/>
    <w:rsid w:val="5F1120BF"/>
    <w:rsid w:val="5F131BD1"/>
    <w:rsid w:val="5F1576F7"/>
    <w:rsid w:val="5F1F2324"/>
    <w:rsid w:val="5F2150E3"/>
    <w:rsid w:val="5F28567D"/>
    <w:rsid w:val="5F2C67EF"/>
    <w:rsid w:val="5F2E2D52"/>
    <w:rsid w:val="5F321771"/>
    <w:rsid w:val="5F33214B"/>
    <w:rsid w:val="5F357D99"/>
    <w:rsid w:val="5F4678B1"/>
    <w:rsid w:val="5F4B7B56"/>
    <w:rsid w:val="5F4D4D18"/>
    <w:rsid w:val="5F5837B6"/>
    <w:rsid w:val="5F5D0FE7"/>
    <w:rsid w:val="5F622211"/>
    <w:rsid w:val="5F6441DB"/>
    <w:rsid w:val="5F6550BC"/>
    <w:rsid w:val="5F6B37BB"/>
    <w:rsid w:val="5F6D1B8C"/>
    <w:rsid w:val="5F700DD2"/>
    <w:rsid w:val="5F720D05"/>
    <w:rsid w:val="5F775CBC"/>
    <w:rsid w:val="5F800986"/>
    <w:rsid w:val="5F860B68"/>
    <w:rsid w:val="5F88611B"/>
    <w:rsid w:val="5F8E3006"/>
    <w:rsid w:val="5F997955"/>
    <w:rsid w:val="5F9C1BC7"/>
    <w:rsid w:val="5F9C386D"/>
    <w:rsid w:val="5FA647F3"/>
    <w:rsid w:val="5FAA698B"/>
    <w:rsid w:val="5FB05672"/>
    <w:rsid w:val="5FB51469"/>
    <w:rsid w:val="5FBA3DFB"/>
    <w:rsid w:val="5FBC5DC5"/>
    <w:rsid w:val="5FBF0F0E"/>
    <w:rsid w:val="5FBF25BC"/>
    <w:rsid w:val="5FC21A57"/>
    <w:rsid w:val="5FC90992"/>
    <w:rsid w:val="5FCD4188"/>
    <w:rsid w:val="5FE232F4"/>
    <w:rsid w:val="5FE32C3E"/>
    <w:rsid w:val="5FE377F5"/>
    <w:rsid w:val="5FE86BBA"/>
    <w:rsid w:val="5FF05A6E"/>
    <w:rsid w:val="5FF217E7"/>
    <w:rsid w:val="5FF23595"/>
    <w:rsid w:val="5FF44B28"/>
    <w:rsid w:val="5FF53085"/>
    <w:rsid w:val="5FF608EE"/>
    <w:rsid w:val="5FFF6A55"/>
    <w:rsid w:val="60003F04"/>
    <w:rsid w:val="600F5569"/>
    <w:rsid w:val="60123C37"/>
    <w:rsid w:val="601703D2"/>
    <w:rsid w:val="601A105C"/>
    <w:rsid w:val="601F7A80"/>
    <w:rsid w:val="60234096"/>
    <w:rsid w:val="602776E2"/>
    <w:rsid w:val="602A4CC7"/>
    <w:rsid w:val="602C2F4B"/>
    <w:rsid w:val="602D6CC3"/>
    <w:rsid w:val="603C3C36"/>
    <w:rsid w:val="604069F6"/>
    <w:rsid w:val="60413D57"/>
    <w:rsid w:val="60446731"/>
    <w:rsid w:val="604638E0"/>
    <w:rsid w:val="604907C2"/>
    <w:rsid w:val="604C539B"/>
    <w:rsid w:val="604D2EC1"/>
    <w:rsid w:val="60514A9F"/>
    <w:rsid w:val="605325BC"/>
    <w:rsid w:val="605602F3"/>
    <w:rsid w:val="6057789C"/>
    <w:rsid w:val="605E6476"/>
    <w:rsid w:val="606D435A"/>
    <w:rsid w:val="606D6F96"/>
    <w:rsid w:val="60732927"/>
    <w:rsid w:val="60895068"/>
    <w:rsid w:val="608F662A"/>
    <w:rsid w:val="60A01243"/>
    <w:rsid w:val="60A70313"/>
    <w:rsid w:val="60B81ABE"/>
    <w:rsid w:val="60B83B85"/>
    <w:rsid w:val="60BD0047"/>
    <w:rsid w:val="60C03693"/>
    <w:rsid w:val="60C2740B"/>
    <w:rsid w:val="60C848A7"/>
    <w:rsid w:val="60CC0446"/>
    <w:rsid w:val="60DD5FF3"/>
    <w:rsid w:val="60E07891"/>
    <w:rsid w:val="60E11BB1"/>
    <w:rsid w:val="60E22D91"/>
    <w:rsid w:val="60E27AAD"/>
    <w:rsid w:val="60E43825"/>
    <w:rsid w:val="60E73121"/>
    <w:rsid w:val="60ED2F15"/>
    <w:rsid w:val="60F20D7A"/>
    <w:rsid w:val="60F8107F"/>
    <w:rsid w:val="60FB291D"/>
    <w:rsid w:val="61007F33"/>
    <w:rsid w:val="6104114D"/>
    <w:rsid w:val="6109328C"/>
    <w:rsid w:val="610D0906"/>
    <w:rsid w:val="610E2650"/>
    <w:rsid w:val="61120392"/>
    <w:rsid w:val="61133E1C"/>
    <w:rsid w:val="6114373C"/>
    <w:rsid w:val="6118495B"/>
    <w:rsid w:val="61190AE5"/>
    <w:rsid w:val="611B37BA"/>
    <w:rsid w:val="611C2F2E"/>
    <w:rsid w:val="611D3A4D"/>
    <w:rsid w:val="612436F4"/>
    <w:rsid w:val="61265BEC"/>
    <w:rsid w:val="612D6DEB"/>
    <w:rsid w:val="61333E65"/>
    <w:rsid w:val="613761A4"/>
    <w:rsid w:val="613876CD"/>
    <w:rsid w:val="613D220F"/>
    <w:rsid w:val="613F280A"/>
    <w:rsid w:val="614119B8"/>
    <w:rsid w:val="614147D4"/>
    <w:rsid w:val="61480D21"/>
    <w:rsid w:val="614840A7"/>
    <w:rsid w:val="615313A9"/>
    <w:rsid w:val="61534507"/>
    <w:rsid w:val="61554B37"/>
    <w:rsid w:val="615C33BC"/>
    <w:rsid w:val="616B1851"/>
    <w:rsid w:val="616C7377"/>
    <w:rsid w:val="616D55C9"/>
    <w:rsid w:val="61717698"/>
    <w:rsid w:val="61736AEC"/>
    <w:rsid w:val="61747F98"/>
    <w:rsid w:val="617A69A4"/>
    <w:rsid w:val="617B75C0"/>
    <w:rsid w:val="618D7A19"/>
    <w:rsid w:val="61903065"/>
    <w:rsid w:val="61914D9C"/>
    <w:rsid w:val="61994610"/>
    <w:rsid w:val="619E0691"/>
    <w:rsid w:val="61A84853"/>
    <w:rsid w:val="61A905CB"/>
    <w:rsid w:val="61AD1D56"/>
    <w:rsid w:val="61AD1E69"/>
    <w:rsid w:val="61AE524A"/>
    <w:rsid w:val="61B36598"/>
    <w:rsid w:val="61BA4586"/>
    <w:rsid w:val="61BF394A"/>
    <w:rsid w:val="61BF7DEE"/>
    <w:rsid w:val="61CB6793"/>
    <w:rsid w:val="61D504A2"/>
    <w:rsid w:val="61DF66FE"/>
    <w:rsid w:val="61E0242D"/>
    <w:rsid w:val="61E70167"/>
    <w:rsid w:val="61E83AEE"/>
    <w:rsid w:val="61EA5C06"/>
    <w:rsid w:val="61EC36D7"/>
    <w:rsid w:val="61ED4F51"/>
    <w:rsid w:val="61EF4230"/>
    <w:rsid w:val="61F5665D"/>
    <w:rsid w:val="61F5736C"/>
    <w:rsid w:val="61F65F50"/>
    <w:rsid w:val="62047DC1"/>
    <w:rsid w:val="62147C10"/>
    <w:rsid w:val="62165C60"/>
    <w:rsid w:val="621A5025"/>
    <w:rsid w:val="621A6DD3"/>
    <w:rsid w:val="621C2B4B"/>
    <w:rsid w:val="622A170C"/>
    <w:rsid w:val="622C43C0"/>
    <w:rsid w:val="623139CC"/>
    <w:rsid w:val="623E1C97"/>
    <w:rsid w:val="624625DA"/>
    <w:rsid w:val="624B0687"/>
    <w:rsid w:val="624D0F56"/>
    <w:rsid w:val="625614D2"/>
    <w:rsid w:val="62570027"/>
    <w:rsid w:val="626F35C2"/>
    <w:rsid w:val="626F6FE9"/>
    <w:rsid w:val="62724E61"/>
    <w:rsid w:val="62740BD9"/>
    <w:rsid w:val="6283706E"/>
    <w:rsid w:val="62922E0D"/>
    <w:rsid w:val="62976675"/>
    <w:rsid w:val="62A414BE"/>
    <w:rsid w:val="62AF08F4"/>
    <w:rsid w:val="62B15989"/>
    <w:rsid w:val="62B17737"/>
    <w:rsid w:val="62B5766A"/>
    <w:rsid w:val="62B611F1"/>
    <w:rsid w:val="62B72874"/>
    <w:rsid w:val="62B965EC"/>
    <w:rsid w:val="62BC40AF"/>
    <w:rsid w:val="62C21E48"/>
    <w:rsid w:val="62C6265A"/>
    <w:rsid w:val="62CC712F"/>
    <w:rsid w:val="62D578C9"/>
    <w:rsid w:val="62DF24F6"/>
    <w:rsid w:val="62E418BB"/>
    <w:rsid w:val="62EB3428"/>
    <w:rsid w:val="62F12229"/>
    <w:rsid w:val="630261E5"/>
    <w:rsid w:val="6306451B"/>
    <w:rsid w:val="630E7E62"/>
    <w:rsid w:val="63193A22"/>
    <w:rsid w:val="631A3827"/>
    <w:rsid w:val="6321796C"/>
    <w:rsid w:val="632443AD"/>
    <w:rsid w:val="632A1297"/>
    <w:rsid w:val="633345F0"/>
    <w:rsid w:val="63365E8E"/>
    <w:rsid w:val="634024BF"/>
    <w:rsid w:val="634619AE"/>
    <w:rsid w:val="63556314"/>
    <w:rsid w:val="63586B25"/>
    <w:rsid w:val="635B17DB"/>
    <w:rsid w:val="63672613"/>
    <w:rsid w:val="636A40BD"/>
    <w:rsid w:val="63714235"/>
    <w:rsid w:val="63722001"/>
    <w:rsid w:val="63732C3E"/>
    <w:rsid w:val="63746519"/>
    <w:rsid w:val="637C26FB"/>
    <w:rsid w:val="637D2331"/>
    <w:rsid w:val="637E4A58"/>
    <w:rsid w:val="637F4537"/>
    <w:rsid w:val="63892462"/>
    <w:rsid w:val="638B442C"/>
    <w:rsid w:val="639037F0"/>
    <w:rsid w:val="639826A5"/>
    <w:rsid w:val="639A641D"/>
    <w:rsid w:val="63A10A72"/>
    <w:rsid w:val="63AA3E84"/>
    <w:rsid w:val="63AB2F21"/>
    <w:rsid w:val="63AD6150"/>
    <w:rsid w:val="63C632E6"/>
    <w:rsid w:val="63C67212"/>
    <w:rsid w:val="63C84FF7"/>
    <w:rsid w:val="63D20D6B"/>
    <w:rsid w:val="63D71756"/>
    <w:rsid w:val="63D77671"/>
    <w:rsid w:val="63DC6A36"/>
    <w:rsid w:val="63DD591C"/>
    <w:rsid w:val="63E15DFA"/>
    <w:rsid w:val="63E43B3C"/>
    <w:rsid w:val="63E44E96"/>
    <w:rsid w:val="63E45201"/>
    <w:rsid w:val="63E57BC3"/>
    <w:rsid w:val="63E92C01"/>
    <w:rsid w:val="63F26259"/>
    <w:rsid w:val="63FB4753"/>
    <w:rsid w:val="63FC6165"/>
    <w:rsid w:val="63FF66DD"/>
    <w:rsid w:val="64020B82"/>
    <w:rsid w:val="64044275"/>
    <w:rsid w:val="640A1ACE"/>
    <w:rsid w:val="640D4E41"/>
    <w:rsid w:val="640F0BB9"/>
    <w:rsid w:val="64103880"/>
    <w:rsid w:val="641A130C"/>
    <w:rsid w:val="64202DC6"/>
    <w:rsid w:val="64264AB1"/>
    <w:rsid w:val="643423CE"/>
    <w:rsid w:val="64393E88"/>
    <w:rsid w:val="643C278B"/>
    <w:rsid w:val="644055C4"/>
    <w:rsid w:val="64437332"/>
    <w:rsid w:val="644D16E1"/>
    <w:rsid w:val="645E569D"/>
    <w:rsid w:val="645F081A"/>
    <w:rsid w:val="646507D9"/>
    <w:rsid w:val="646A2293"/>
    <w:rsid w:val="646E5DD0"/>
    <w:rsid w:val="64747D3B"/>
    <w:rsid w:val="647A1DAB"/>
    <w:rsid w:val="64881FA6"/>
    <w:rsid w:val="649030B3"/>
    <w:rsid w:val="64947318"/>
    <w:rsid w:val="64947B60"/>
    <w:rsid w:val="64966B51"/>
    <w:rsid w:val="64970BAF"/>
    <w:rsid w:val="649B10C0"/>
    <w:rsid w:val="649D0E83"/>
    <w:rsid w:val="649E1F3D"/>
    <w:rsid w:val="64A3350D"/>
    <w:rsid w:val="64A45831"/>
    <w:rsid w:val="64A832BC"/>
    <w:rsid w:val="64AC114E"/>
    <w:rsid w:val="64B04E86"/>
    <w:rsid w:val="64B4350F"/>
    <w:rsid w:val="64B654D9"/>
    <w:rsid w:val="64BF277D"/>
    <w:rsid w:val="64C25C2B"/>
    <w:rsid w:val="64D140C0"/>
    <w:rsid w:val="64D30F52"/>
    <w:rsid w:val="64D7429C"/>
    <w:rsid w:val="64DD2E2F"/>
    <w:rsid w:val="64E05417"/>
    <w:rsid w:val="64E262CE"/>
    <w:rsid w:val="64E738E4"/>
    <w:rsid w:val="64E75692"/>
    <w:rsid w:val="64F13BAE"/>
    <w:rsid w:val="64F403C5"/>
    <w:rsid w:val="64F97173"/>
    <w:rsid w:val="64FB113D"/>
    <w:rsid w:val="64FC6110"/>
    <w:rsid w:val="64FE478A"/>
    <w:rsid w:val="650464AB"/>
    <w:rsid w:val="650545D5"/>
    <w:rsid w:val="65064F35"/>
    <w:rsid w:val="650A5824"/>
    <w:rsid w:val="65110961"/>
    <w:rsid w:val="65113350"/>
    <w:rsid w:val="651421FF"/>
    <w:rsid w:val="65177936"/>
    <w:rsid w:val="651B533C"/>
    <w:rsid w:val="651D5558"/>
    <w:rsid w:val="65206DF6"/>
    <w:rsid w:val="652266CA"/>
    <w:rsid w:val="6530528B"/>
    <w:rsid w:val="65331F13"/>
    <w:rsid w:val="6534541F"/>
    <w:rsid w:val="65377372"/>
    <w:rsid w:val="65377F11"/>
    <w:rsid w:val="654323A1"/>
    <w:rsid w:val="654943D9"/>
    <w:rsid w:val="654A5B17"/>
    <w:rsid w:val="654C1999"/>
    <w:rsid w:val="6558033E"/>
    <w:rsid w:val="65646CE3"/>
    <w:rsid w:val="656B2465"/>
    <w:rsid w:val="656B62C3"/>
    <w:rsid w:val="657809E0"/>
    <w:rsid w:val="657B402C"/>
    <w:rsid w:val="65815AE7"/>
    <w:rsid w:val="6589499B"/>
    <w:rsid w:val="658A4348"/>
    <w:rsid w:val="658B7653"/>
    <w:rsid w:val="65925606"/>
    <w:rsid w:val="659438DB"/>
    <w:rsid w:val="659956BB"/>
    <w:rsid w:val="659D498D"/>
    <w:rsid w:val="65A25E80"/>
    <w:rsid w:val="65A96DEB"/>
    <w:rsid w:val="65AD68DC"/>
    <w:rsid w:val="65AF3DCA"/>
    <w:rsid w:val="65C21C5B"/>
    <w:rsid w:val="65CC4888"/>
    <w:rsid w:val="65CD55FB"/>
    <w:rsid w:val="65D379C4"/>
    <w:rsid w:val="65DF6369"/>
    <w:rsid w:val="65E168ED"/>
    <w:rsid w:val="65E252B4"/>
    <w:rsid w:val="65F67148"/>
    <w:rsid w:val="65FE7073"/>
    <w:rsid w:val="66014531"/>
    <w:rsid w:val="66033B3B"/>
    <w:rsid w:val="660B3602"/>
    <w:rsid w:val="660C5D19"/>
    <w:rsid w:val="661A1E77"/>
    <w:rsid w:val="6624022E"/>
    <w:rsid w:val="66280ED6"/>
    <w:rsid w:val="662E5105"/>
    <w:rsid w:val="66377F53"/>
    <w:rsid w:val="66391F1D"/>
    <w:rsid w:val="663C1A0D"/>
    <w:rsid w:val="663E7D2D"/>
    <w:rsid w:val="664803B2"/>
    <w:rsid w:val="66524D8D"/>
    <w:rsid w:val="66552ACF"/>
    <w:rsid w:val="6655487D"/>
    <w:rsid w:val="665605A5"/>
    <w:rsid w:val="6660394E"/>
    <w:rsid w:val="66611474"/>
    <w:rsid w:val="6671122B"/>
    <w:rsid w:val="667473F9"/>
    <w:rsid w:val="66772A46"/>
    <w:rsid w:val="667C005C"/>
    <w:rsid w:val="668138C4"/>
    <w:rsid w:val="66825392"/>
    <w:rsid w:val="668C4743"/>
    <w:rsid w:val="66911D59"/>
    <w:rsid w:val="669826D9"/>
    <w:rsid w:val="66996E60"/>
    <w:rsid w:val="66A14498"/>
    <w:rsid w:val="66A17AC3"/>
    <w:rsid w:val="66A3383B"/>
    <w:rsid w:val="66A82BFF"/>
    <w:rsid w:val="66AD63BC"/>
    <w:rsid w:val="66AD7DAE"/>
    <w:rsid w:val="66B23A7E"/>
    <w:rsid w:val="66B57E5F"/>
    <w:rsid w:val="66B61FF9"/>
    <w:rsid w:val="66C51A03"/>
    <w:rsid w:val="66C832A1"/>
    <w:rsid w:val="66D04506"/>
    <w:rsid w:val="66D41C46"/>
    <w:rsid w:val="66D439F4"/>
    <w:rsid w:val="66D734E4"/>
    <w:rsid w:val="66DC6D4D"/>
    <w:rsid w:val="66E06336"/>
    <w:rsid w:val="66E16432"/>
    <w:rsid w:val="66E51CB4"/>
    <w:rsid w:val="66EB050D"/>
    <w:rsid w:val="66ED4AB6"/>
    <w:rsid w:val="66EF6A80"/>
    <w:rsid w:val="66F02231"/>
    <w:rsid w:val="66F127F8"/>
    <w:rsid w:val="670A1B0C"/>
    <w:rsid w:val="6712451C"/>
    <w:rsid w:val="67140294"/>
    <w:rsid w:val="671505CA"/>
    <w:rsid w:val="67195C44"/>
    <w:rsid w:val="671D498D"/>
    <w:rsid w:val="671F55B7"/>
    <w:rsid w:val="672506F4"/>
    <w:rsid w:val="6732696D"/>
    <w:rsid w:val="6733742A"/>
    <w:rsid w:val="673A4BD0"/>
    <w:rsid w:val="67486190"/>
    <w:rsid w:val="675073B3"/>
    <w:rsid w:val="67567318"/>
    <w:rsid w:val="675F565F"/>
    <w:rsid w:val="6760797E"/>
    <w:rsid w:val="67627084"/>
    <w:rsid w:val="67684189"/>
    <w:rsid w:val="67692315"/>
    <w:rsid w:val="676A4610"/>
    <w:rsid w:val="677B7BCE"/>
    <w:rsid w:val="67840AE2"/>
    <w:rsid w:val="678418BE"/>
    <w:rsid w:val="678673E4"/>
    <w:rsid w:val="678809D3"/>
    <w:rsid w:val="67885DB3"/>
    <w:rsid w:val="678A67A9"/>
    <w:rsid w:val="678C0773"/>
    <w:rsid w:val="678C5B11"/>
    <w:rsid w:val="678F3DBF"/>
    <w:rsid w:val="67964D29"/>
    <w:rsid w:val="679D64DC"/>
    <w:rsid w:val="679F4A2F"/>
    <w:rsid w:val="67A463CF"/>
    <w:rsid w:val="67A4786A"/>
    <w:rsid w:val="67A54CA2"/>
    <w:rsid w:val="67A71109"/>
    <w:rsid w:val="67A755AC"/>
    <w:rsid w:val="67A7735B"/>
    <w:rsid w:val="67B04461"/>
    <w:rsid w:val="67B209F7"/>
    <w:rsid w:val="67B215EE"/>
    <w:rsid w:val="67B81568"/>
    <w:rsid w:val="67BB151A"/>
    <w:rsid w:val="67C9107F"/>
    <w:rsid w:val="67D143D7"/>
    <w:rsid w:val="67D50B62"/>
    <w:rsid w:val="67D5426E"/>
    <w:rsid w:val="67D87514"/>
    <w:rsid w:val="67E0517D"/>
    <w:rsid w:val="67E175F7"/>
    <w:rsid w:val="67E265E5"/>
    <w:rsid w:val="67E97973"/>
    <w:rsid w:val="67EA7FB0"/>
    <w:rsid w:val="67EC244A"/>
    <w:rsid w:val="67EC2FBF"/>
    <w:rsid w:val="67F500C6"/>
    <w:rsid w:val="67F971AD"/>
    <w:rsid w:val="67FA1B80"/>
    <w:rsid w:val="67FC12C5"/>
    <w:rsid w:val="67FD6F7B"/>
    <w:rsid w:val="6805089A"/>
    <w:rsid w:val="68097925"/>
    <w:rsid w:val="680B1697"/>
    <w:rsid w:val="68130D49"/>
    <w:rsid w:val="68142C42"/>
    <w:rsid w:val="68160749"/>
    <w:rsid w:val="6817003C"/>
    <w:rsid w:val="68183C19"/>
    <w:rsid w:val="681C54D7"/>
    <w:rsid w:val="681D761D"/>
    <w:rsid w:val="68262975"/>
    <w:rsid w:val="68307BE6"/>
    <w:rsid w:val="68355A84"/>
    <w:rsid w:val="68397461"/>
    <w:rsid w:val="683C5CF5"/>
    <w:rsid w:val="68420E31"/>
    <w:rsid w:val="684461C6"/>
    <w:rsid w:val="684F3C7A"/>
    <w:rsid w:val="68555008"/>
    <w:rsid w:val="68571773"/>
    <w:rsid w:val="685C1EF3"/>
    <w:rsid w:val="685F3791"/>
    <w:rsid w:val="686231A1"/>
    <w:rsid w:val="68662D72"/>
    <w:rsid w:val="68721717"/>
    <w:rsid w:val="6873052F"/>
    <w:rsid w:val="68784853"/>
    <w:rsid w:val="68792AA5"/>
    <w:rsid w:val="687A05CB"/>
    <w:rsid w:val="68813643"/>
    <w:rsid w:val="688F501A"/>
    <w:rsid w:val="689204FD"/>
    <w:rsid w:val="689630CE"/>
    <w:rsid w:val="68A37B22"/>
    <w:rsid w:val="68A55712"/>
    <w:rsid w:val="68A96554"/>
    <w:rsid w:val="68AD3E95"/>
    <w:rsid w:val="68B477F1"/>
    <w:rsid w:val="68B7181F"/>
    <w:rsid w:val="68B735CD"/>
    <w:rsid w:val="68BA0A96"/>
    <w:rsid w:val="68BA2170"/>
    <w:rsid w:val="68C10F78"/>
    <w:rsid w:val="68C64A8F"/>
    <w:rsid w:val="68C652EE"/>
    <w:rsid w:val="68C75C35"/>
    <w:rsid w:val="68CC428B"/>
    <w:rsid w:val="68CF4DBB"/>
    <w:rsid w:val="68D656F7"/>
    <w:rsid w:val="68D66492"/>
    <w:rsid w:val="68E26742"/>
    <w:rsid w:val="68E3372E"/>
    <w:rsid w:val="68EB00B3"/>
    <w:rsid w:val="68EF077E"/>
    <w:rsid w:val="68F44821"/>
    <w:rsid w:val="69032982"/>
    <w:rsid w:val="6905681A"/>
    <w:rsid w:val="690804F2"/>
    <w:rsid w:val="69083E29"/>
    <w:rsid w:val="6918480D"/>
    <w:rsid w:val="691B1DAE"/>
    <w:rsid w:val="691B3B5C"/>
    <w:rsid w:val="69242AFE"/>
    <w:rsid w:val="69283A58"/>
    <w:rsid w:val="692C5D69"/>
    <w:rsid w:val="69342E70"/>
    <w:rsid w:val="6938470E"/>
    <w:rsid w:val="693B5FAC"/>
    <w:rsid w:val="69434E61"/>
    <w:rsid w:val="6951448C"/>
    <w:rsid w:val="69553FCE"/>
    <w:rsid w:val="695F683E"/>
    <w:rsid w:val="696564D0"/>
    <w:rsid w:val="69675991"/>
    <w:rsid w:val="69684F4F"/>
    <w:rsid w:val="696A4AE4"/>
    <w:rsid w:val="696C58DC"/>
    <w:rsid w:val="697257F6"/>
    <w:rsid w:val="6974326C"/>
    <w:rsid w:val="69775D3D"/>
    <w:rsid w:val="6977627C"/>
    <w:rsid w:val="6985191D"/>
    <w:rsid w:val="69866617"/>
    <w:rsid w:val="69876ACF"/>
    <w:rsid w:val="6987794B"/>
    <w:rsid w:val="69896C4F"/>
    <w:rsid w:val="69944010"/>
    <w:rsid w:val="699B4C9D"/>
    <w:rsid w:val="699D5390"/>
    <w:rsid w:val="699F53F8"/>
    <w:rsid w:val="69A578CA"/>
    <w:rsid w:val="69AB1384"/>
    <w:rsid w:val="69B01180"/>
    <w:rsid w:val="69B12712"/>
    <w:rsid w:val="69BD19A5"/>
    <w:rsid w:val="69C04E3A"/>
    <w:rsid w:val="69C53A5B"/>
    <w:rsid w:val="69C77762"/>
    <w:rsid w:val="69DD79DC"/>
    <w:rsid w:val="69DF1AC4"/>
    <w:rsid w:val="69E45863"/>
    <w:rsid w:val="69E77EE2"/>
    <w:rsid w:val="69EB2192"/>
    <w:rsid w:val="69EE301F"/>
    <w:rsid w:val="6A002D52"/>
    <w:rsid w:val="6A073BEB"/>
    <w:rsid w:val="6A08670B"/>
    <w:rsid w:val="6A107439"/>
    <w:rsid w:val="6A152CA1"/>
    <w:rsid w:val="6A164324"/>
    <w:rsid w:val="6A1B0891"/>
    <w:rsid w:val="6A1E2395"/>
    <w:rsid w:val="6A243F51"/>
    <w:rsid w:val="6A260A0B"/>
    <w:rsid w:val="6A2922A9"/>
    <w:rsid w:val="6A2D7FEB"/>
    <w:rsid w:val="6A303EE9"/>
    <w:rsid w:val="6A3F387A"/>
    <w:rsid w:val="6A3F7D1E"/>
    <w:rsid w:val="6A400E3A"/>
    <w:rsid w:val="6A466750"/>
    <w:rsid w:val="6A474B69"/>
    <w:rsid w:val="6A477C0F"/>
    <w:rsid w:val="6A49294B"/>
    <w:rsid w:val="6A542494"/>
    <w:rsid w:val="6A585B4A"/>
    <w:rsid w:val="6A5A4B58"/>
    <w:rsid w:val="6A5F3F1C"/>
    <w:rsid w:val="6A675E13"/>
    <w:rsid w:val="6A6A5FED"/>
    <w:rsid w:val="6A757312"/>
    <w:rsid w:val="6A771266"/>
    <w:rsid w:val="6A792065"/>
    <w:rsid w:val="6A7B2047"/>
    <w:rsid w:val="6A7C062B"/>
    <w:rsid w:val="6A845731"/>
    <w:rsid w:val="6A8676FB"/>
    <w:rsid w:val="6A8B2D2D"/>
    <w:rsid w:val="6AA77654"/>
    <w:rsid w:val="6AA9175B"/>
    <w:rsid w:val="6AB029CA"/>
    <w:rsid w:val="6AB31367"/>
    <w:rsid w:val="6AB84AD3"/>
    <w:rsid w:val="6AB9187F"/>
    <w:rsid w:val="6ABE0C43"/>
    <w:rsid w:val="6ABF6769"/>
    <w:rsid w:val="6AC50223"/>
    <w:rsid w:val="6AC54347"/>
    <w:rsid w:val="6AC55036"/>
    <w:rsid w:val="6AC63F9C"/>
    <w:rsid w:val="6AC645F4"/>
    <w:rsid w:val="6AC83870"/>
    <w:rsid w:val="6ACB4585"/>
    <w:rsid w:val="6AD466B8"/>
    <w:rsid w:val="6ADB2195"/>
    <w:rsid w:val="6ADB5796"/>
    <w:rsid w:val="6ADB5BEC"/>
    <w:rsid w:val="6AE0505D"/>
    <w:rsid w:val="6AE21764"/>
    <w:rsid w:val="6AF503DD"/>
    <w:rsid w:val="6AF74155"/>
    <w:rsid w:val="6AFC1944"/>
    <w:rsid w:val="6AFE1987"/>
    <w:rsid w:val="6B065627"/>
    <w:rsid w:val="6B0A37EF"/>
    <w:rsid w:val="6B0B1692"/>
    <w:rsid w:val="6B0C102F"/>
    <w:rsid w:val="6B1116BB"/>
    <w:rsid w:val="6B145140"/>
    <w:rsid w:val="6B1A47A6"/>
    <w:rsid w:val="6B1A47F0"/>
    <w:rsid w:val="6B1B411A"/>
    <w:rsid w:val="6B1B45D5"/>
    <w:rsid w:val="6B1C1E0E"/>
    <w:rsid w:val="6B2044D3"/>
    <w:rsid w:val="6B296FCD"/>
    <w:rsid w:val="6B366BD0"/>
    <w:rsid w:val="6B3C600C"/>
    <w:rsid w:val="6B411367"/>
    <w:rsid w:val="6B463DB3"/>
    <w:rsid w:val="6B47294E"/>
    <w:rsid w:val="6B4A5165"/>
    <w:rsid w:val="6B4F21E3"/>
    <w:rsid w:val="6B554CCE"/>
    <w:rsid w:val="6B564A55"/>
    <w:rsid w:val="6B5670CE"/>
    <w:rsid w:val="6B5965FE"/>
    <w:rsid w:val="6B5A0C4E"/>
    <w:rsid w:val="6B5F7EE9"/>
    <w:rsid w:val="6B607CC8"/>
    <w:rsid w:val="6B623CC4"/>
    <w:rsid w:val="6B637A3C"/>
    <w:rsid w:val="6B65611A"/>
    <w:rsid w:val="6B6F6C5A"/>
    <w:rsid w:val="6B732E73"/>
    <w:rsid w:val="6B79100E"/>
    <w:rsid w:val="6B841E74"/>
    <w:rsid w:val="6B8862B9"/>
    <w:rsid w:val="6B8B373E"/>
    <w:rsid w:val="6B8E2D0B"/>
    <w:rsid w:val="6B95727D"/>
    <w:rsid w:val="6B9A2731"/>
    <w:rsid w:val="6B9A7157"/>
    <w:rsid w:val="6B9B2ACE"/>
    <w:rsid w:val="6BA808D2"/>
    <w:rsid w:val="6BB22C67"/>
    <w:rsid w:val="6BB65DBE"/>
    <w:rsid w:val="6BC04E8F"/>
    <w:rsid w:val="6BC22ABF"/>
    <w:rsid w:val="6BC47261"/>
    <w:rsid w:val="6BC95AF1"/>
    <w:rsid w:val="6BCA3618"/>
    <w:rsid w:val="6BD151AC"/>
    <w:rsid w:val="6BD6020E"/>
    <w:rsid w:val="6BD915C1"/>
    <w:rsid w:val="6BDD3437"/>
    <w:rsid w:val="6BDE4C2C"/>
    <w:rsid w:val="6BE309E6"/>
    <w:rsid w:val="6BE40B7D"/>
    <w:rsid w:val="6BE96194"/>
    <w:rsid w:val="6BEA6A1E"/>
    <w:rsid w:val="6BEA6B80"/>
    <w:rsid w:val="6BEC5C84"/>
    <w:rsid w:val="6BF95CAB"/>
    <w:rsid w:val="6C044D7B"/>
    <w:rsid w:val="6C293C84"/>
    <w:rsid w:val="6C2B7138"/>
    <w:rsid w:val="6C327B3B"/>
    <w:rsid w:val="6C33740F"/>
    <w:rsid w:val="6C3A0673"/>
    <w:rsid w:val="6C3E2B17"/>
    <w:rsid w:val="6C4B29AA"/>
    <w:rsid w:val="6C4C04D0"/>
    <w:rsid w:val="6C4C5660"/>
    <w:rsid w:val="6C507FC1"/>
    <w:rsid w:val="6C524A3F"/>
    <w:rsid w:val="6C5555D7"/>
    <w:rsid w:val="6C58137C"/>
    <w:rsid w:val="6C5A499B"/>
    <w:rsid w:val="6C5D0B51"/>
    <w:rsid w:val="6C5E44E0"/>
    <w:rsid w:val="6C5F0204"/>
    <w:rsid w:val="6C603C39"/>
    <w:rsid w:val="6C621AA2"/>
    <w:rsid w:val="6C753814"/>
    <w:rsid w:val="6C783B29"/>
    <w:rsid w:val="6C7F08A6"/>
    <w:rsid w:val="6C7F2654"/>
    <w:rsid w:val="6C8269E6"/>
    <w:rsid w:val="6C8402FA"/>
    <w:rsid w:val="6C88775B"/>
    <w:rsid w:val="6C952B9E"/>
    <w:rsid w:val="6C9C3206"/>
    <w:rsid w:val="6CA426C9"/>
    <w:rsid w:val="6CAB3449"/>
    <w:rsid w:val="6CAD0F6F"/>
    <w:rsid w:val="6CAE2F2E"/>
    <w:rsid w:val="6CAF198C"/>
    <w:rsid w:val="6CB0280D"/>
    <w:rsid w:val="6CB06CB1"/>
    <w:rsid w:val="6CB178DD"/>
    <w:rsid w:val="6CB56076"/>
    <w:rsid w:val="6CBA654D"/>
    <w:rsid w:val="6CBD4F2A"/>
    <w:rsid w:val="6CC14A1B"/>
    <w:rsid w:val="6CC4450B"/>
    <w:rsid w:val="6CCB5899"/>
    <w:rsid w:val="6CCF2381"/>
    <w:rsid w:val="6CDB338B"/>
    <w:rsid w:val="6CE452D6"/>
    <w:rsid w:val="6CE73B06"/>
    <w:rsid w:val="6CEC0D56"/>
    <w:rsid w:val="6CEE4DA1"/>
    <w:rsid w:val="6CF50B68"/>
    <w:rsid w:val="6CF66663"/>
    <w:rsid w:val="6D0A0937"/>
    <w:rsid w:val="6D0A2952"/>
    <w:rsid w:val="6D0B1D5B"/>
    <w:rsid w:val="6D0D1D19"/>
    <w:rsid w:val="6D0E34DA"/>
    <w:rsid w:val="6D147A66"/>
    <w:rsid w:val="6D170ADE"/>
    <w:rsid w:val="6D194857"/>
    <w:rsid w:val="6D1C7EA3"/>
    <w:rsid w:val="6D1D00CD"/>
    <w:rsid w:val="6D2356D5"/>
    <w:rsid w:val="6D2D0302"/>
    <w:rsid w:val="6D2F5E28"/>
    <w:rsid w:val="6D321550"/>
    <w:rsid w:val="6D3527BF"/>
    <w:rsid w:val="6D3B47CD"/>
    <w:rsid w:val="6D3C6C5F"/>
    <w:rsid w:val="6D48513C"/>
    <w:rsid w:val="6D486EEA"/>
    <w:rsid w:val="6D561607"/>
    <w:rsid w:val="6D602A51"/>
    <w:rsid w:val="6D68133A"/>
    <w:rsid w:val="6D6D0BEC"/>
    <w:rsid w:val="6D7E290C"/>
    <w:rsid w:val="6D7F41BF"/>
    <w:rsid w:val="6D8141AA"/>
    <w:rsid w:val="6D8532DC"/>
    <w:rsid w:val="6D8C0AF7"/>
    <w:rsid w:val="6D8D6DE8"/>
    <w:rsid w:val="6D980423"/>
    <w:rsid w:val="6DA02882"/>
    <w:rsid w:val="6DA265FA"/>
    <w:rsid w:val="6DA94D04"/>
    <w:rsid w:val="6DA94EBA"/>
    <w:rsid w:val="6DAC0977"/>
    <w:rsid w:val="6DAE1443"/>
    <w:rsid w:val="6DB0087C"/>
    <w:rsid w:val="6DBE59DF"/>
    <w:rsid w:val="6DCA3DA3"/>
    <w:rsid w:val="6DCD0BB8"/>
    <w:rsid w:val="6DCE1692"/>
    <w:rsid w:val="6DCF2A85"/>
    <w:rsid w:val="6DD07245"/>
    <w:rsid w:val="6DD92670"/>
    <w:rsid w:val="6DE85FD7"/>
    <w:rsid w:val="6DEA68EA"/>
    <w:rsid w:val="6DEC5AC7"/>
    <w:rsid w:val="6DF37AB2"/>
    <w:rsid w:val="6DFB3F5C"/>
    <w:rsid w:val="6DFD1A82"/>
    <w:rsid w:val="6E035F2B"/>
    <w:rsid w:val="6E041F66"/>
    <w:rsid w:val="6E0911EF"/>
    <w:rsid w:val="6E0E0C26"/>
    <w:rsid w:val="6E1B45FE"/>
    <w:rsid w:val="6E20553A"/>
    <w:rsid w:val="6E2308B8"/>
    <w:rsid w:val="6E2B60EC"/>
    <w:rsid w:val="6E2D0758"/>
    <w:rsid w:val="6E30666C"/>
    <w:rsid w:val="6E437B98"/>
    <w:rsid w:val="6E4476B1"/>
    <w:rsid w:val="6E510020"/>
    <w:rsid w:val="6E5928D7"/>
    <w:rsid w:val="6E5A6A6D"/>
    <w:rsid w:val="6E66399A"/>
    <w:rsid w:val="6E6E472E"/>
    <w:rsid w:val="6E782AD6"/>
    <w:rsid w:val="6E8126B3"/>
    <w:rsid w:val="6E91666F"/>
    <w:rsid w:val="6E930639"/>
    <w:rsid w:val="6E933DEA"/>
    <w:rsid w:val="6E9922D7"/>
    <w:rsid w:val="6E9F108C"/>
    <w:rsid w:val="6EAF6592"/>
    <w:rsid w:val="6EAF7F72"/>
    <w:rsid w:val="6EB63F89"/>
    <w:rsid w:val="6EBA5BC5"/>
    <w:rsid w:val="6EC24A7A"/>
    <w:rsid w:val="6EC67E60"/>
    <w:rsid w:val="6ECB1B80"/>
    <w:rsid w:val="6ECD23DD"/>
    <w:rsid w:val="6ECF78C3"/>
    <w:rsid w:val="6EDA7AF8"/>
    <w:rsid w:val="6EDC5F92"/>
    <w:rsid w:val="6EE3336E"/>
    <w:rsid w:val="6EE429F1"/>
    <w:rsid w:val="6EE75CF6"/>
    <w:rsid w:val="6EE76E5E"/>
    <w:rsid w:val="6EEC3C03"/>
    <w:rsid w:val="6EEE3AC1"/>
    <w:rsid w:val="6EF03395"/>
    <w:rsid w:val="6EF94DCA"/>
    <w:rsid w:val="6EFF182A"/>
    <w:rsid w:val="6F0532E4"/>
    <w:rsid w:val="6F0648CA"/>
    <w:rsid w:val="6F086931"/>
    <w:rsid w:val="6F0E7CBF"/>
    <w:rsid w:val="6F173018"/>
    <w:rsid w:val="6F174CC1"/>
    <w:rsid w:val="6F255735"/>
    <w:rsid w:val="6F265009"/>
    <w:rsid w:val="6F285225"/>
    <w:rsid w:val="6F3057A3"/>
    <w:rsid w:val="6F3516F0"/>
    <w:rsid w:val="6F3965E2"/>
    <w:rsid w:val="6F437969"/>
    <w:rsid w:val="6F452128"/>
    <w:rsid w:val="6F472A00"/>
    <w:rsid w:val="6F4B4449"/>
    <w:rsid w:val="6F5574FB"/>
    <w:rsid w:val="6F5C7750"/>
    <w:rsid w:val="6F5E2375"/>
    <w:rsid w:val="6F5E5AEF"/>
    <w:rsid w:val="6F5F10A7"/>
    <w:rsid w:val="6F624C36"/>
    <w:rsid w:val="6F6E0637"/>
    <w:rsid w:val="6F6E0FBF"/>
    <w:rsid w:val="6F744F9C"/>
    <w:rsid w:val="6F782B7F"/>
    <w:rsid w:val="6F7D52B5"/>
    <w:rsid w:val="6F857F81"/>
    <w:rsid w:val="6F8821E3"/>
    <w:rsid w:val="6F9A6322"/>
    <w:rsid w:val="6FAC19B2"/>
    <w:rsid w:val="6FB2689C"/>
    <w:rsid w:val="6FBE22B7"/>
    <w:rsid w:val="6FC32B1E"/>
    <w:rsid w:val="6FD61E3A"/>
    <w:rsid w:val="6FDD2C47"/>
    <w:rsid w:val="6FE27182"/>
    <w:rsid w:val="6FE4739E"/>
    <w:rsid w:val="6FF24B04"/>
    <w:rsid w:val="6FFB6CF4"/>
    <w:rsid w:val="6FFD3FBC"/>
    <w:rsid w:val="6FFD4E6E"/>
    <w:rsid w:val="700571FA"/>
    <w:rsid w:val="7007308C"/>
    <w:rsid w:val="700851FC"/>
    <w:rsid w:val="70102CD0"/>
    <w:rsid w:val="7014337E"/>
    <w:rsid w:val="70147F1E"/>
    <w:rsid w:val="70182BA3"/>
    <w:rsid w:val="70193EBC"/>
    <w:rsid w:val="701A2DBF"/>
    <w:rsid w:val="701E3F32"/>
    <w:rsid w:val="702616C9"/>
    <w:rsid w:val="7026309C"/>
    <w:rsid w:val="702754DC"/>
    <w:rsid w:val="70384FF4"/>
    <w:rsid w:val="70390D6C"/>
    <w:rsid w:val="703A36BF"/>
    <w:rsid w:val="703B1758"/>
    <w:rsid w:val="70441BEA"/>
    <w:rsid w:val="704B11CB"/>
    <w:rsid w:val="704C679E"/>
    <w:rsid w:val="704E2A69"/>
    <w:rsid w:val="704E4817"/>
    <w:rsid w:val="704F058F"/>
    <w:rsid w:val="70560F05"/>
    <w:rsid w:val="7056191E"/>
    <w:rsid w:val="706A2A9F"/>
    <w:rsid w:val="70711EF0"/>
    <w:rsid w:val="70735B54"/>
    <w:rsid w:val="70755580"/>
    <w:rsid w:val="70756248"/>
    <w:rsid w:val="70785D38"/>
    <w:rsid w:val="707D6EAA"/>
    <w:rsid w:val="708010DE"/>
    <w:rsid w:val="708F6BDE"/>
    <w:rsid w:val="709C4DBC"/>
    <w:rsid w:val="709E54A1"/>
    <w:rsid w:val="70A1528F"/>
    <w:rsid w:val="70A22DB5"/>
    <w:rsid w:val="70A36C70"/>
    <w:rsid w:val="70A408DB"/>
    <w:rsid w:val="70A66401"/>
    <w:rsid w:val="70AC7FE9"/>
    <w:rsid w:val="70AD6D1C"/>
    <w:rsid w:val="70AE2627"/>
    <w:rsid w:val="70B04B4C"/>
    <w:rsid w:val="70B10909"/>
    <w:rsid w:val="70B30B1E"/>
    <w:rsid w:val="70C1148D"/>
    <w:rsid w:val="70C60851"/>
    <w:rsid w:val="70C62C01"/>
    <w:rsid w:val="70C82DBB"/>
    <w:rsid w:val="70C96594"/>
    <w:rsid w:val="70D25C6C"/>
    <w:rsid w:val="70D7582F"/>
    <w:rsid w:val="70DB6936"/>
    <w:rsid w:val="70DF2E13"/>
    <w:rsid w:val="70E1568B"/>
    <w:rsid w:val="70EF0D17"/>
    <w:rsid w:val="70FB720D"/>
    <w:rsid w:val="70FE448F"/>
    <w:rsid w:val="71014469"/>
    <w:rsid w:val="710458DF"/>
    <w:rsid w:val="710849C6"/>
    <w:rsid w:val="711060E4"/>
    <w:rsid w:val="71110792"/>
    <w:rsid w:val="71132CA0"/>
    <w:rsid w:val="711F61B4"/>
    <w:rsid w:val="712F47EA"/>
    <w:rsid w:val="7130216F"/>
    <w:rsid w:val="713A2FAC"/>
    <w:rsid w:val="71413A82"/>
    <w:rsid w:val="714814E8"/>
    <w:rsid w:val="714B30BD"/>
    <w:rsid w:val="7150636D"/>
    <w:rsid w:val="715275D8"/>
    <w:rsid w:val="71530A68"/>
    <w:rsid w:val="71535E5D"/>
    <w:rsid w:val="715431A2"/>
    <w:rsid w:val="71604DD8"/>
    <w:rsid w:val="716C313B"/>
    <w:rsid w:val="717169A4"/>
    <w:rsid w:val="71844269"/>
    <w:rsid w:val="718720E0"/>
    <w:rsid w:val="718A5D23"/>
    <w:rsid w:val="718C6D66"/>
    <w:rsid w:val="71967069"/>
    <w:rsid w:val="719941B8"/>
    <w:rsid w:val="719C621B"/>
    <w:rsid w:val="719D077A"/>
    <w:rsid w:val="719E4607"/>
    <w:rsid w:val="719F449E"/>
    <w:rsid w:val="71A44913"/>
    <w:rsid w:val="71A5490B"/>
    <w:rsid w:val="71A65ADA"/>
    <w:rsid w:val="71A7496F"/>
    <w:rsid w:val="71A768D5"/>
    <w:rsid w:val="71AA17BB"/>
    <w:rsid w:val="71B1539A"/>
    <w:rsid w:val="71B608C6"/>
    <w:rsid w:val="71B62F85"/>
    <w:rsid w:val="71B91357"/>
    <w:rsid w:val="71CC6099"/>
    <w:rsid w:val="71CF357D"/>
    <w:rsid w:val="71D14B22"/>
    <w:rsid w:val="71D15700"/>
    <w:rsid w:val="71D76A8E"/>
    <w:rsid w:val="71DC40A5"/>
    <w:rsid w:val="71DD11E4"/>
    <w:rsid w:val="71E033C2"/>
    <w:rsid w:val="71E65C53"/>
    <w:rsid w:val="71F35EA7"/>
    <w:rsid w:val="71F66F14"/>
    <w:rsid w:val="71F92EA9"/>
    <w:rsid w:val="71FB47DA"/>
    <w:rsid w:val="72031631"/>
    <w:rsid w:val="721455EC"/>
    <w:rsid w:val="72200435"/>
    <w:rsid w:val="722C0B88"/>
    <w:rsid w:val="723143F0"/>
    <w:rsid w:val="72395053"/>
    <w:rsid w:val="723B701D"/>
    <w:rsid w:val="723D2AC8"/>
    <w:rsid w:val="724063E2"/>
    <w:rsid w:val="72436E91"/>
    <w:rsid w:val="724C14C1"/>
    <w:rsid w:val="724F114D"/>
    <w:rsid w:val="72512C22"/>
    <w:rsid w:val="7252403F"/>
    <w:rsid w:val="725B76BF"/>
    <w:rsid w:val="7269323A"/>
    <w:rsid w:val="726B5B54"/>
    <w:rsid w:val="726C5429"/>
    <w:rsid w:val="72700C51"/>
    <w:rsid w:val="72730565"/>
    <w:rsid w:val="72734A09"/>
    <w:rsid w:val="727442DD"/>
    <w:rsid w:val="7275610E"/>
    <w:rsid w:val="72785B7B"/>
    <w:rsid w:val="727B4EBF"/>
    <w:rsid w:val="727E6F0A"/>
    <w:rsid w:val="72824C4C"/>
    <w:rsid w:val="72834520"/>
    <w:rsid w:val="7285473C"/>
    <w:rsid w:val="728764B8"/>
    <w:rsid w:val="728C4E0A"/>
    <w:rsid w:val="72966949"/>
    <w:rsid w:val="72AE5A41"/>
    <w:rsid w:val="72AF5315"/>
    <w:rsid w:val="72B34E05"/>
    <w:rsid w:val="72B8241C"/>
    <w:rsid w:val="72B9250E"/>
    <w:rsid w:val="72BF7C4E"/>
    <w:rsid w:val="72C953F9"/>
    <w:rsid w:val="72CB1998"/>
    <w:rsid w:val="72D0088C"/>
    <w:rsid w:val="72D07765"/>
    <w:rsid w:val="72D60AF4"/>
    <w:rsid w:val="72D93B82"/>
    <w:rsid w:val="72DB610A"/>
    <w:rsid w:val="72E04F19"/>
    <w:rsid w:val="72ED7B54"/>
    <w:rsid w:val="72F434FA"/>
    <w:rsid w:val="72F53ED4"/>
    <w:rsid w:val="72F71196"/>
    <w:rsid w:val="73012015"/>
    <w:rsid w:val="73013DC3"/>
    <w:rsid w:val="73025CFD"/>
    <w:rsid w:val="73025D8D"/>
    <w:rsid w:val="73057B87"/>
    <w:rsid w:val="7311772D"/>
    <w:rsid w:val="731634DF"/>
    <w:rsid w:val="73191C23"/>
    <w:rsid w:val="731C29AB"/>
    <w:rsid w:val="731D5861"/>
    <w:rsid w:val="732301DD"/>
    <w:rsid w:val="73267CCD"/>
    <w:rsid w:val="7329331A"/>
    <w:rsid w:val="73331EF0"/>
    <w:rsid w:val="73387DB3"/>
    <w:rsid w:val="733A0D89"/>
    <w:rsid w:val="733C4DFB"/>
    <w:rsid w:val="733F2B3D"/>
    <w:rsid w:val="734A16A2"/>
    <w:rsid w:val="734A1F2E"/>
    <w:rsid w:val="734A4C49"/>
    <w:rsid w:val="734D525A"/>
    <w:rsid w:val="73533309"/>
    <w:rsid w:val="73575302"/>
    <w:rsid w:val="735C1231"/>
    <w:rsid w:val="735E7467"/>
    <w:rsid w:val="737427E7"/>
    <w:rsid w:val="737D338C"/>
    <w:rsid w:val="73844DAE"/>
    <w:rsid w:val="73926835"/>
    <w:rsid w:val="739509AF"/>
    <w:rsid w:val="739D4948"/>
    <w:rsid w:val="73A073E7"/>
    <w:rsid w:val="73A3678C"/>
    <w:rsid w:val="73A51066"/>
    <w:rsid w:val="73AE60AD"/>
    <w:rsid w:val="73AE6276"/>
    <w:rsid w:val="73C44343"/>
    <w:rsid w:val="73C445EE"/>
    <w:rsid w:val="73C53042"/>
    <w:rsid w:val="73C73A13"/>
    <w:rsid w:val="73CB43D1"/>
    <w:rsid w:val="73D4485C"/>
    <w:rsid w:val="73D4607A"/>
    <w:rsid w:val="73DA4614"/>
    <w:rsid w:val="73DC6178"/>
    <w:rsid w:val="73DE7940"/>
    <w:rsid w:val="73E159A2"/>
    <w:rsid w:val="73E17BD6"/>
    <w:rsid w:val="73E55492"/>
    <w:rsid w:val="73EA0EDA"/>
    <w:rsid w:val="73ED07EB"/>
    <w:rsid w:val="73F61526"/>
    <w:rsid w:val="74032EFE"/>
    <w:rsid w:val="74051691"/>
    <w:rsid w:val="74185868"/>
    <w:rsid w:val="7420471D"/>
    <w:rsid w:val="74275AAB"/>
    <w:rsid w:val="742A7349"/>
    <w:rsid w:val="742F2BB2"/>
    <w:rsid w:val="74342377"/>
    <w:rsid w:val="74343D24"/>
    <w:rsid w:val="743D52CE"/>
    <w:rsid w:val="7442412D"/>
    <w:rsid w:val="744D6689"/>
    <w:rsid w:val="745B39A7"/>
    <w:rsid w:val="745B7503"/>
    <w:rsid w:val="745D0C66"/>
    <w:rsid w:val="74620891"/>
    <w:rsid w:val="74674561"/>
    <w:rsid w:val="746C5BB4"/>
    <w:rsid w:val="74732A9E"/>
    <w:rsid w:val="74741941"/>
    <w:rsid w:val="747F2240"/>
    <w:rsid w:val="748C590E"/>
    <w:rsid w:val="7491561A"/>
    <w:rsid w:val="74940C67"/>
    <w:rsid w:val="7497042E"/>
    <w:rsid w:val="749A44CF"/>
    <w:rsid w:val="749C3D7D"/>
    <w:rsid w:val="74A715D2"/>
    <w:rsid w:val="74B542D0"/>
    <w:rsid w:val="74B763B5"/>
    <w:rsid w:val="74BB61F3"/>
    <w:rsid w:val="74BE7A92"/>
    <w:rsid w:val="74C57072"/>
    <w:rsid w:val="74E120FE"/>
    <w:rsid w:val="74E44775"/>
    <w:rsid w:val="74F55BA9"/>
    <w:rsid w:val="74F94ED0"/>
    <w:rsid w:val="75175B20"/>
    <w:rsid w:val="751A5573"/>
    <w:rsid w:val="751B43A3"/>
    <w:rsid w:val="751D6EAE"/>
    <w:rsid w:val="752669FD"/>
    <w:rsid w:val="75327179"/>
    <w:rsid w:val="7536480C"/>
    <w:rsid w:val="753B10E2"/>
    <w:rsid w:val="753D30AC"/>
    <w:rsid w:val="75436915"/>
    <w:rsid w:val="7546337F"/>
    <w:rsid w:val="75466405"/>
    <w:rsid w:val="754937FF"/>
    <w:rsid w:val="754B57C9"/>
    <w:rsid w:val="754F1272"/>
    <w:rsid w:val="75596138"/>
    <w:rsid w:val="755C3532"/>
    <w:rsid w:val="756311CB"/>
    <w:rsid w:val="756417D1"/>
    <w:rsid w:val="756A0CF5"/>
    <w:rsid w:val="756B5E6B"/>
    <w:rsid w:val="756E0253"/>
    <w:rsid w:val="75702BBC"/>
    <w:rsid w:val="75703144"/>
    <w:rsid w:val="75722D56"/>
    <w:rsid w:val="7577493F"/>
    <w:rsid w:val="757F36C5"/>
    <w:rsid w:val="75956A44"/>
    <w:rsid w:val="75960453"/>
    <w:rsid w:val="7596337E"/>
    <w:rsid w:val="759C1FD6"/>
    <w:rsid w:val="75A0408C"/>
    <w:rsid w:val="75A317DE"/>
    <w:rsid w:val="75A5137D"/>
    <w:rsid w:val="75A66EA3"/>
    <w:rsid w:val="75AD25C1"/>
    <w:rsid w:val="75B9389A"/>
    <w:rsid w:val="75B94E29"/>
    <w:rsid w:val="75B96BD7"/>
    <w:rsid w:val="75BA294F"/>
    <w:rsid w:val="75BC4DB1"/>
    <w:rsid w:val="75C236C5"/>
    <w:rsid w:val="75C52B44"/>
    <w:rsid w:val="75CC71DF"/>
    <w:rsid w:val="75CD2682"/>
    <w:rsid w:val="75CF2BD1"/>
    <w:rsid w:val="75DA0985"/>
    <w:rsid w:val="75DD4FC7"/>
    <w:rsid w:val="75DE488F"/>
    <w:rsid w:val="75E1612D"/>
    <w:rsid w:val="75E2374B"/>
    <w:rsid w:val="75E421E7"/>
    <w:rsid w:val="75E7254A"/>
    <w:rsid w:val="75EB48B6"/>
    <w:rsid w:val="75F069EE"/>
    <w:rsid w:val="75F27239"/>
    <w:rsid w:val="75F46F71"/>
    <w:rsid w:val="75F61BD9"/>
    <w:rsid w:val="75F64149"/>
    <w:rsid w:val="75F92BF7"/>
    <w:rsid w:val="7600574C"/>
    <w:rsid w:val="760A5684"/>
    <w:rsid w:val="760F67F7"/>
    <w:rsid w:val="76120095"/>
    <w:rsid w:val="76124A8D"/>
    <w:rsid w:val="76166AA7"/>
    <w:rsid w:val="761E2EDE"/>
    <w:rsid w:val="762304F4"/>
    <w:rsid w:val="76251EFD"/>
    <w:rsid w:val="762A7B3D"/>
    <w:rsid w:val="762E130F"/>
    <w:rsid w:val="76315D26"/>
    <w:rsid w:val="76393874"/>
    <w:rsid w:val="763D608D"/>
    <w:rsid w:val="764C76B3"/>
    <w:rsid w:val="765863F0"/>
    <w:rsid w:val="765B7BA5"/>
    <w:rsid w:val="76612DCA"/>
    <w:rsid w:val="766F2834"/>
    <w:rsid w:val="768255BE"/>
    <w:rsid w:val="76830F93"/>
    <w:rsid w:val="768C6099"/>
    <w:rsid w:val="768E1E11"/>
    <w:rsid w:val="76916862"/>
    <w:rsid w:val="76950F22"/>
    <w:rsid w:val="76960CC6"/>
    <w:rsid w:val="769B62DC"/>
    <w:rsid w:val="769C10D5"/>
    <w:rsid w:val="769D3E02"/>
    <w:rsid w:val="76AB520D"/>
    <w:rsid w:val="76B64EC4"/>
    <w:rsid w:val="76B876C7"/>
    <w:rsid w:val="76C770D1"/>
    <w:rsid w:val="76C84BF7"/>
    <w:rsid w:val="76CF558F"/>
    <w:rsid w:val="76D90BB3"/>
    <w:rsid w:val="76DD4DE8"/>
    <w:rsid w:val="76DE4C32"/>
    <w:rsid w:val="76E94B77"/>
    <w:rsid w:val="76EB7264"/>
    <w:rsid w:val="76F31C74"/>
    <w:rsid w:val="76F609F1"/>
    <w:rsid w:val="76F65C09"/>
    <w:rsid w:val="76FF686B"/>
    <w:rsid w:val="77094221"/>
    <w:rsid w:val="770C7E43"/>
    <w:rsid w:val="770F2826"/>
    <w:rsid w:val="7711272C"/>
    <w:rsid w:val="77127C86"/>
    <w:rsid w:val="77134DC8"/>
    <w:rsid w:val="771A36A5"/>
    <w:rsid w:val="772165DA"/>
    <w:rsid w:val="7725204A"/>
    <w:rsid w:val="772C33D8"/>
    <w:rsid w:val="772F73F8"/>
    <w:rsid w:val="773B54FF"/>
    <w:rsid w:val="773D55E5"/>
    <w:rsid w:val="77512E3F"/>
    <w:rsid w:val="775A1CF3"/>
    <w:rsid w:val="775D3592"/>
    <w:rsid w:val="77601471"/>
    <w:rsid w:val="776112D4"/>
    <w:rsid w:val="77614A4C"/>
    <w:rsid w:val="77640DC4"/>
    <w:rsid w:val="776963DA"/>
    <w:rsid w:val="777577A3"/>
    <w:rsid w:val="777803CC"/>
    <w:rsid w:val="777E3905"/>
    <w:rsid w:val="77876861"/>
    <w:rsid w:val="77A91ADE"/>
    <w:rsid w:val="77A92C7B"/>
    <w:rsid w:val="77A94A29"/>
    <w:rsid w:val="77AB07A1"/>
    <w:rsid w:val="77AD4FDD"/>
    <w:rsid w:val="77B336A4"/>
    <w:rsid w:val="77B54D3C"/>
    <w:rsid w:val="77BA69E0"/>
    <w:rsid w:val="77C35AEB"/>
    <w:rsid w:val="77C7038B"/>
    <w:rsid w:val="77C70C7A"/>
    <w:rsid w:val="77CC60A6"/>
    <w:rsid w:val="77D9530E"/>
    <w:rsid w:val="77E13575"/>
    <w:rsid w:val="77E15873"/>
    <w:rsid w:val="77E43CB3"/>
    <w:rsid w:val="77ED516F"/>
    <w:rsid w:val="77F04406"/>
    <w:rsid w:val="77F90CE3"/>
    <w:rsid w:val="77FA2584"/>
    <w:rsid w:val="77FA5285"/>
    <w:rsid w:val="78016613"/>
    <w:rsid w:val="78084936"/>
    <w:rsid w:val="78090E99"/>
    <w:rsid w:val="780A47CE"/>
    <w:rsid w:val="780A5EB9"/>
    <w:rsid w:val="780F5AA2"/>
    <w:rsid w:val="78140451"/>
    <w:rsid w:val="781861C2"/>
    <w:rsid w:val="782102AC"/>
    <w:rsid w:val="78216CB5"/>
    <w:rsid w:val="78295179"/>
    <w:rsid w:val="782D126E"/>
    <w:rsid w:val="78340796"/>
    <w:rsid w:val="783A3737"/>
    <w:rsid w:val="783A5239"/>
    <w:rsid w:val="783C764B"/>
    <w:rsid w:val="783E33C3"/>
    <w:rsid w:val="7840538D"/>
    <w:rsid w:val="78454752"/>
    <w:rsid w:val="78462278"/>
    <w:rsid w:val="784655B3"/>
    <w:rsid w:val="784B67EB"/>
    <w:rsid w:val="784D7AAA"/>
    <w:rsid w:val="78511348"/>
    <w:rsid w:val="7851759A"/>
    <w:rsid w:val="7855070D"/>
    <w:rsid w:val="7860333A"/>
    <w:rsid w:val="78654A86"/>
    <w:rsid w:val="78673398"/>
    <w:rsid w:val="786B66D9"/>
    <w:rsid w:val="787465B6"/>
    <w:rsid w:val="7879341E"/>
    <w:rsid w:val="787A0D3F"/>
    <w:rsid w:val="787A3D0F"/>
    <w:rsid w:val="78807F3E"/>
    <w:rsid w:val="78827754"/>
    <w:rsid w:val="78847910"/>
    <w:rsid w:val="78857244"/>
    <w:rsid w:val="788F00C3"/>
    <w:rsid w:val="78AA0A59"/>
    <w:rsid w:val="78AD7A58"/>
    <w:rsid w:val="78AF0554"/>
    <w:rsid w:val="78AF70A8"/>
    <w:rsid w:val="78B56D31"/>
    <w:rsid w:val="78B57239"/>
    <w:rsid w:val="78BD1885"/>
    <w:rsid w:val="78BD22C6"/>
    <w:rsid w:val="78C0202A"/>
    <w:rsid w:val="78C9169B"/>
    <w:rsid w:val="78CA4C57"/>
    <w:rsid w:val="78CF04BF"/>
    <w:rsid w:val="78D15FE5"/>
    <w:rsid w:val="78D36201"/>
    <w:rsid w:val="78D51699"/>
    <w:rsid w:val="78DC3DFA"/>
    <w:rsid w:val="78E33F6B"/>
    <w:rsid w:val="78E8332F"/>
    <w:rsid w:val="78EC7724"/>
    <w:rsid w:val="78F932AB"/>
    <w:rsid w:val="78FF6FF6"/>
    <w:rsid w:val="79023C15"/>
    <w:rsid w:val="790C2242"/>
    <w:rsid w:val="79153174"/>
    <w:rsid w:val="791663CE"/>
    <w:rsid w:val="791800B8"/>
    <w:rsid w:val="791B3704"/>
    <w:rsid w:val="792627D5"/>
    <w:rsid w:val="79303951"/>
    <w:rsid w:val="793236F3"/>
    <w:rsid w:val="79334EF2"/>
    <w:rsid w:val="79346574"/>
    <w:rsid w:val="793622EC"/>
    <w:rsid w:val="793D18CD"/>
    <w:rsid w:val="793D283D"/>
    <w:rsid w:val="79444A09"/>
    <w:rsid w:val="794C7553"/>
    <w:rsid w:val="794F0BCE"/>
    <w:rsid w:val="7957532A"/>
    <w:rsid w:val="79694470"/>
    <w:rsid w:val="796B643A"/>
    <w:rsid w:val="796C5D0E"/>
    <w:rsid w:val="79725A1A"/>
    <w:rsid w:val="79733540"/>
    <w:rsid w:val="79782905"/>
    <w:rsid w:val="797B209D"/>
    <w:rsid w:val="798219D5"/>
    <w:rsid w:val="798362B3"/>
    <w:rsid w:val="79850083"/>
    <w:rsid w:val="79894B12"/>
    <w:rsid w:val="79984D55"/>
    <w:rsid w:val="799D5C9D"/>
    <w:rsid w:val="79A91CCC"/>
    <w:rsid w:val="79AF6D5B"/>
    <w:rsid w:val="79B27A67"/>
    <w:rsid w:val="79B4054D"/>
    <w:rsid w:val="79C4281B"/>
    <w:rsid w:val="79C97604"/>
    <w:rsid w:val="79CF141E"/>
    <w:rsid w:val="79D33FDF"/>
    <w:rsid w:val="79D67E1E"/>
    <w:rsid w:val="79D717D7"/>
    <w:rsid w:val="79DA7170"/>
    <w:rsid w:val="79DB0614"/>
    <w:rsid w:val="79DC395F"/>
    <w:rsid w:val="79E6345B"/>
    <w:rsid w:val="79EF100A"/>
    <w:rsid w:val="79F1032A"/>
    <w:rsid w:val="79F12E09"/>
    <w:rsid w:val="79F3005C"/>
    <w:rsid w:val="79FE0C3B"/>
    <w:rsid w:val="7A056BAC"/>
    <w:rsid w:val="7A072F6C"/>
    <w:rsid w:val="7A0D129F"/>
    <w:rsid w:val="7A112E07"/>
    <w:rsid w:val="7A1179E4"/>
    <w:rsid w:val="7A120583"/>
    <w:rsid w:val="7A205476"/>
    <w:rsid w:val="7A2842FD"/>
    <w:rsid w:val="7A3525A4"/>
    <w:rsid w:val="7A3902E6"/>
    <w:rsid w:val="7A41719B"/>
    <w:rsid w:val="7A4E3666"/>
    <w:rsid w:val="7A5275FA"/>
    <w:rsid w:val="7A545CC3"/>
    <w:rsid w:val="7A552C46"/>
    <w:rsid w:val="7A585CB9"/>
    <w:rsid w:val="7A5862B2"/>
    <w:rsid w:val="7A656783"/>
    <w:rsid w:val="7A68724D"/>
    <w:rsid w:val="7A71606E"/>
    <w:rsid w:val="7A717CA2"/>
    <w:rsid w:val="7A7E03EF"/>
    <w:rsid w:val="7A826219"/>
    <w:rsid w:val="7A862E00"/>
    <w:rsid w:val="7A897628"/>
    <w:rsid w:val="7A8B22E0"/>
    <w:rsid w:val="7A8F4231"/>
    <w:rsid w:val="7A8F7170"/>
    <w:rsid w:val="7A9F47C8"/>
    <w:rsid w:val="7A9F662B"/>
    <w:rsid w:val="7AA31C03"/>
    <w:rsid w:val="7AA80FC8"/>
    <w:rsid w:val="7AA86067"/>
    <w:rsid w:val="7AA977A4"/>
    <w:rsid w:val="7AB45BBF"/>
    <w:rsid w:val="7AB91427"/>
    <w:rsid w:val="7AB931D5"/>
    <w:rsid w:val="7ABA1851"/>
    <w:rsid w:val="7ABC4A73"/>
    <w:rsid w:val="7AC027B5"/>
    <w:rsid w:val="7ACB4CB6"/>
    <w:rsid w:val="7AD33013"/>
    <w:rsid w:val="7AD46261"/>
    <w:rsid w:val="7AD81B0D"/>
    <w:rsid w:val="7ADB75EF"/>
    <w:rsid w:val="7ADD5115"/>
    <w:rsid w:val="7AE077B3"/>
    <w:rsid w:val="7AEE23C9"/>
    <w:rsid w:val="7AFE6E3A"/>
    <w:rsid w:val="7B073F40"/>
    <w:rsid w:val="7B096C95"/>
    <w:rsid w:val="7B0C1557"/>
    <w:rsid w:val="7B0E1773"/>
    <w:rsid w:val="7B0E3AAA"/>
    <w:rsid w:val="7B1228E5"/>
    <w:rsid w:val="7B18439F"/>
    <w:rsid w:val="7B1C3503"/>
    <w:rsid w:val="7B1F5E6F"/>
    <w:rsid w:val="7B22521E"/>
    <w:rsid w:val="7B232217"/>
    <w:rsid w:val="7B283B3B"/>
    <w:rsid w:val="7B2B4440"/>
    <w:rsid w:val="7B2F195E"/>
    <w:rsid w:val="7B302040"/>
    <w:rsid w:val="7B303CC7"/>
    <w:rsid w:val="7B304708"/>
    <w:rsid w:val="7B391AEF"/>
    <w:rsid w:val="7B3A213B"/>
    <w:rsid w:val="7B476A33"/>
    <w:rsid w:val="7B4C376C"/>
    <w:rsid w:val="7B4C5DF7"/>
    <w:rsid w:val="7B533629"/>
    <w:rsid w:val="7B546342"/>
    <w:rsid w:val="7B580C40"/>
    <w:rsid w:val="7B5C26B1"/>
    <w:rsid w:val="7B5E01A7"/>
    <w:rsid w:val="7B603CB6"/>
    <w:rsid w:val="7B684125"/>
    <w:rsid w:val="7B6F409C"/>
    <w:rsid w:val="7B786BEC"/>
    <w:rsid w:val="7B7B7033"/>
    <w:rsid w:val="7B837315"/>
    <w:rsid w:val="7B863B58"/>
    <w:rsid w:val="7B892BA7"/>
    <w:rsid w:val="7B8B7243"/>
    <w:rsid w:val="7B914152"/>
    <w:rsid w:val="7B9316CE"/>
    <w:rsid w:val="7B937750"/>
    <w:rsid w:val="7B98728E"/>
    <w:rsid w:val="7BA14395"/>
    <w:rsid w:val="7BAB5214"/>
    <w:rsid w:val="7BAE3FF7"/>
    <w:rsid w:val="7BB30B9E"/>
    <w:rsid w:val="7BB37C24"/>
    <w:rsid w:val="7BB474DC"/>
    <w:rsid w:val="7BC2430B"/>
    <w:rsid w:val="7BC260B9"/>
    <w:rsid w:val="7BD048F2"/>
    <w:rsid w:val="7BD61B65"/>
    <w:rsid w:val="7BD6383B"/>
    <w:rsid w:val="7BD858DD"/>
    <w:rsid w:val="7BF1074D"/>
    <w:rsid w:val="7BF236E3"/>
    <w:rsid w:val="7BF546E1"/>
    <w:rsid w:val="7BF807EA"/>
    <w:rsid w:val="7BFF10BB"/>
    <w:rsid w:val="7C013085"/>
    <w:rsid w:val="7C0B664A"/>
    <w:rsid w:val="7C0B6B6A"/>
    <w:rsid w:val="7C105041"/>
    <w:rsid w:val="7C1521EF"/>
    <w:rsid w:val="7C176405"/>
    <w:rsid w:val="7C1C7B14"/>
    <w:rsid w:val="7C1F175E"/>
    <w:rsid w:val="7C1F350C"/>
    <w:rsid w:val="7C23124E"/>
    <w:rsid w:val="7C232FFC"/>
    <w:rsid w:val="7C2533B1"/>
    <w:rsid w:val="7C2B3597"/>
    <w:rsid w:val="7C321491"/>
    <w:rsid w:val="7C350F81"/>
    <w:rsid w:val="7C3570AE"/>
    <w:rsid w:val="7C3658C0"/>
    <w:rsid w:val="7C36796C"/>
    <w:rsid w:val="7C3A12F7"/>
    <w:rsid w:val="7C3E489E"/>
    <w:rsid w:val="7C43136B"/>
    <w:rsid w:val="7C4E3981"/>
    <w:rsid w:val="7C577FE4"/>
    <w:rsid w:val="7C5D4A80"/>
    <w:rsid w:val="7C605FFE"/>
    <w:rsid w:val="7C613B24"/>
    <w:rsid w:val="7C6B49A3"/>
    <w:rsid w:val="7C7020FB"/>
    <w:rsid w:val="7C703D67"/>
    <w:rsid w:val="7C745605"/>
    <w:rsid w:val="7C75184C"/>
    <w:rsid w:val="7C776EA4"/>
    <w:rsid w:val="7C790E6E"/>
    <w:rsid w:val="7C7F193B"/>
    <w:rsid w:val="7C80044E"/>
    <w:rsid w:val="7C8141C6"/>
    <w:rsid w:val="7C890259"/>
    <w:rsid w:val="7C8909CB"/>
    <w:rsid w:val="7C9151C3"/>
    <w:rsid w:val="7C923CDE"/>
    <w:rsid w:val="7C99506C"/>
    <w:rsid w:val="7CAB33D0"/>
    <w:rsid w:val="7CB023B6"/>
    <w:rsid w:val="7CB83C1B"/>
    <w:rsid w:val="7CBA145A"/>
    <w:rsid w:val="7CBE2D25"/>
    <w:rsid w:val="7CBE7128"/>
    <w:rsid w:val="7CC52305"/>
    <w:rsid w:val="7CC62F7B"/>
    <w:rsid w:val="7CC7512A"/>
    <w:rsid w:val="7CD13BCC"/>
    <w:rsid w:val="7CD2057E"/>
    <w:rsid w:val="7CD479E4"/>
    <w:rsid w:val="7CD75B94"/>
    <w:rsid w:val="7CE21D95"/>
    <w:rsid w:val="7CE309DD"/>
    <w:rsid w:val="7CE315D5"/>
    <w:rsid w:val="7CE3715C"/>
    <w:rsid w:val="7CEC1640"/>
    <w:rsid w:val="7CF2566E"/>
    <w:rsid w:val="7CFB4383"/>
    <w:rsid w:val="7CFB51D0"/>
    <w:rsid w:val="7CFB7AD5"/>
    <w:rsid w:val="7D0746CC"/>
    <w:rsid w:val="7D0E20A1"/>
    <w:rsid w:val="7D133070"/>
    <w:rsid w:val="7D19734A"/>
    <w:rsid w:val="7D1C2D4C"/>
    <w:rsid w:val="7D1E5C9A"/>
    <w:rsid w:val="7D263FE0"/>
    <w:rsid w:val="7D2D1C58"/>
    <w:rsid w:val="7D2D3A06"/>
    <w:rsid w:val="7D2D51FD"/>
    <w:rsid w:val="7D382AD7"/>
    <w:rsid w:val="7D384885"/>
    <w:rsid w:val="7D3A0AAF"/>
    <w:rsid w:val="7D5B67C5"/>
    <w:rsid w:val="7D5F62B6"/>
    <w:rsid w:val="7D627B5B"/>
    <w:rsid w:val="7D690EE2"/>
    <w:rsid w:val="7D6A5169"/>
    <w:rsid w:val="7D6C4C9B"/>
    <w:rsid w:val="7D6F2271"/>
    <w:rsid w:val="7D7653AD"/>
    <w:rsid w:val="7D817587"/>
    <w:rsid w:val="7D831878"/>
    <w:rsid w:val="7D843A55"/>
    <w:rsid w:val="7D843C0B"/>
    <w:rsid w:val="7D845D1C"/>
    <w:rsid w:val="7D871368"/>
    <w:rsid w:val="7D8D658A"/>
    <w:rsid w:val="7D9046C1"/>
    <w:rsid w:val="7D9121E7"/>
    <w:rsid w:val="7D974D3C"/>
    <w:rsid w:val="7D9F2048"/>
    <w:rsid w:val="7DA51921"/>
    <w:rsid w:val="7DAE0FEB"/>
    <w:rsid w:val="7DAE2D99"/>
    <w:rsid w:val="7DB027AB"/>
    <w:rsid w:val="7DBC3708"/>
    <w:rsid w:val="7DC73E5B"/>
    <w:rsid w:val="7DCC7AD0"/>
    <w:rsid w:val="7DCE6F97"/>
    <w:rsid w:val="7DD87E16"/>
    <w:rsid w:val="7DDA320F"/>
    <w:rsid w:val="7DDD71DA"/>
    <w:rsid w:val="7DE70059"/>
    <w:rsid w:val="7DF6029C"/>
    <w:rsid w:val="7DFD787D"/>
    <w:rsid w:val="7E0705C1"/>
    <w:rsid w:val="7E0806FB"/>
    <w:rsid w:val="7E16190F"/>
    <w:rsid w:val="7E16235D"/>
    <w:rsid w:val="7E194254"/>
    <w:rsid w:val="7E2117BD"/>
    <w:rsid w:val="7E235DDE"/>
    <w:rsid w:val="7E24795C"/>
    <w:rsid w:val="7E260A84"/>
    <w:rsid w:val="7E2F3C7C"/>
    <w:rsid w:val="7E3111DC"/>
    <w:rsid w:val="7E353820"/>
    <w:rsid w:val="7E374B3D"/>
    <w:rsid w:val="7E464D80"/>
    <w:rsid w:val="7E48012E"/>
    <w:rsid w:val="7E492AC2"/>
    <w:rsid w:val="7E4E5C75"/>
    <w:rsid w:val="7E627C54"/>
    <w:rsid w:val="7E631DD5"/>
    <w:rsid w:val="7E6379FA"/>
    <w:rsid w:val="7E667BD9"/>
    <w:rsid w:val="7E696CC0"/>
    <w:rsid w:val="7E7318ED"/>
    <w:rsid w:val="7E7920E3"/>
    <w:rsid w:val="7E7A0ECD"/>
    <w:rsid w:val="7E841592"/>
    <w:rsid w:val="7E8940A9"/>
    <w:rsid w:val="7E8C7359"/>
    <w:rsid w:val="7E8D4419"/>
    <w:rsid w:val="7E97572C"/>
    <w:rsid w:val="7E977CD1"/>
    <w:rsid w:val="7EA122E9"/>
    <w:rsid w:val="7EB31BE7"/>
    <w:rsid w:val="7EB46269"/>
    <w:rsid w:val="7EBA751C"/>
    <w:rsid w:val="7EBE04CB"/>
    <w:rsid w:val="7EBE525E"/>
    <w:rsid w:val="7EC54E07"/>
    <w:rsid w:val="7EC97D8B"/>
    <w:rsid w:val="7ED56104"/>
    <w:rsid w:val="7EDB1194"/>
    <w:rsid w:val="7EDD7D0C"/>
    <w:rsid w:val="7EDF4FBE"/>
    <w:rsid w:val="7EE8052D"/>
    <w:rsid w:val="7EF02F3D"/>
    <w:rsid w:val="7EF26CB5"/>
    <w:rsid w:val="7EFE7D49"/>
    <w:rsid w:val="7F0D2891"/>
    <w:rsid w:val="7F1B454B"/>
    <w:rsid w:val="7F1B620C"/>
    <w:rsid w:val="7F21759B"/>
    <w:rsid w:val="7F231565"/>
    <w:rsid w:val="7F29749B"/>
    <w:rsid w:val="7F34107C"/>
    <w:rsid w:val="7F370E72"/>
    <w:rsid w:val="7F373E96"/>
    <w:rsid w:val="7F376DBE"/>
    <w:rsid w:val="7F413799"/>
    <w:rsid w:val="7F464805"/>
    <w:rsid w:val="7F471C5D"/>
    <w:rsid w:val="7F49284B"/>
    <w:rsid w:val="7F4C4618"/>
    <w:rsid w:val="7F517E80"/>
    <w:rsid w:val="7F5652D3"/>
    <w:rsid w:val="7F5E5BB9"/>
    <w:rsid w:val="7F5E7C2C"/>
    <w:rsid w:val="7F631B2A"/>
    <w:rsid w:val="7F647E1B"/>
    <w:rsid w:val="7F6F2A9A"/>
    <w:rsid w:val="7F7731D8"/>
    <w:rsid w:val="7F7917BB"/>
    <w:rsid w:val="7F835A8D"/>
    <w:rsid w:val="7F853FCE"/>
    <w:rsid w:val="7F8F7AD3"/>
    <w:rsid w:val="7F902A52"/>
    <w:rsid w:val="7F9B10FB"/>
    <w:rsid w:val="7F9E1F45"/>
    <w:rsid w:val="7F9E2466"/>
    <w:rsid w:val="7F9E6D8D"/>
    <w:rsid w:val="7F9F6AC5"/>
    <w:rsid w:val="7FA426A6"/>
    <w:rsid w:val="7FA53D28"/>
    <w:rsid w:val="7FAC50B6"/>
    <w:rsid w:val="7FAD360A"/>
    <w:rsid w:val="7FB0104A"/>
    <w:rsid w:val="7FB87EFF"/>
    <w:rsid w:val="7FB90F14"/>
    <w:rsid w:val="7FBA7AF7"/>
    <w:rsid w:val="7FC44AF6"/>
    <w:rsid w:val="7FC8211E"/>
    <w:rsid w:val="7FC95C68"/>
    <w:rsid w:val="7FCC7507"/>
    <w:rsid w:val="7FD14B1D"/>
    <w:rsid w:val="7FD50AB1"/>
    <w:rsid w:val="7FD60385"/>
    <w:rsid w:val="7FDD4CBC"/>
    <w:rsid w:val="7FE1147B"/>
    <w:rsid w:val="7FE26D2A"/>
    <w:rsid w:val="7FE900B8"/>
    <w:rsid w:val="7FEC212C"/>
    <w:rsid w:val="7FEF53A8"/>
    <w:rsid w:val="7FF13411"/>
    <w:rsid w:val="7FF30E56"/>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73"/>
    <w:qFormat/>
    <w:uiPriority w:val="0"/>
    <w:pPr>
      <w:keepNext/>
      <w:keepLines/>
      <w:jc w:val="center"/>
      <w:outlineLvl w:val="0"/>
    </w:pPr>
    <w:rPr>
      <w:rFonts w:ascii="Times New Roman" w:hAnsi="Times New Roman" w:eastAsia="黑体"/>
      <w:kern w:val="44"/>
      <w:sz w:val="30"/>
    </w:rPr>
  </w:style>
  <w:style w:type="paragraph" w:styleId="8">
    <w:name w:val="heading 2"/>
    <w:basedOn w:val="1"/>
    <w:next w:val="1"/>
    <w:unhideWhenUsed/>
    <w:qFormat/>
    <w:uiPriority w:val="0"/>
    <w:pPr>
      <w:keepNext/>
      <w:keepLines/>
      <w:adjustRightInd w:val="0"/>
      <w:snapToGrid w:val="0"/>
      <w:spacing w:before="10" w:line="360" w:lineRule="auto"/>
      <w:outlineLvl w:val="1"/>
    </w:pPr>
    <w:rPr>
      <w:rFonts w:ascii="Arial" w:hAnsi="Arial"/>
      <w:b/>
      <w:sz w:val="28"/>
    </w:rPr>
  </w:style>
  <w:style w:type="paragraph" w:styleId="9">
    <w:name w:val="heading 3"/>
    <w:basedOn w:val="1"/>
    <w:next w:val="1"/>
    <w:qFormat/>
    <w:uiPriority w:val="0"/>
    <w:pPr>
      <w:keepNext/>
      <w:keepLines/>
      <w:spacing w:line="360" w:lineRule="auto"/>
      <w:ind w:firstLine="574" w:firstLineChars="200"/>
      <w:outlineLvl w:val="2"/>
    </w:pPr>
    <w:rPr>
      <w:rFonts w:eastAsia="黑体"/>
    </w:rPr>
  </w:style>
  <w:style w:type="paragraph" w:styleId="10">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firstLine="210"/>
    </w:pPr>
  </w:style>
  <w:style w:type="paragraph" w:styleId="3">
    <w:name w:val="Body Text Indent"/>
    <w:basedOn w:val="1"/>
    <w:next w:val="4"/>
    <w:qFormat/>
    <w:uiPriority w:val="0"/>
    <w:pPr>
      <w:spacing w:line="360" w:lineRule="auto"/>
      <w:ind w:firstLine="560" w:firstLineChars="200"/>
      <w:jc w:val="left"/>
    </w:pPr>
    <w:rPr>
      <w:rFonts w:eastAsia="楷体_GB2312"/>
      <w:sz w:val="28"/>
      <w:szCs w:val="24"/>
    </w:rPr>
  </w:style>
  <w:style w:type="paragraph" w:styleId="4">
    <w:name w:val="Body Text First Indent"/>
    <w:basedOn w:val="5"/>
    <w:next w:val="1"/>
    <w:qFormat/>
    <w:uiPriority w:val="0"/>
    <w:pPr>
      <w:spacing w:after="120"/>
      <w:ind w:firstLine="420" w:firstLineChars="100"/>
    </w:pPr>
    <w:rPr>
      <w:rFonts w:eastAsia="宋体"/>
      <w:sz w:val="21"/>
      <w:szCs w:val="20"/>
    </w:rPr>
  </w:style>
  <w:style w:type="paragraph" w:styleId="5">
    <w:name w:val="Body Text"/>
    <w:basedOn w:val="1"/>
    <w:next w:val="6"/>
    <w:qFormat/>
    <w:uiPriority w:val="0"/>
    <w:rPr>
      <w:rFonts w:eastAsia="楷体_GB2312"/>
      <w:b/>
      <w:bCs/>
      <w:sz w:val="32"/>
      <w:szCs w:val="24"/>
    </w:rPr>
  </w:style>
  <w:style w:type="paragraph" w:styleId="6">
    <w:name w:val="List Bullet 5"/>
    <w:basedOn w:val="1"/>
    <w:qFormat/>
    <w:uiPriority w:val="0"/>
    <w:pPr>
      <w:numPr>
        <w:ilvl w:val="0"/>
        <w:numId w:val="1"/>
      </w:numPr>
    </w:pPr>
  </w:style>
  <w:style w:type="paragraph" w:styleId="12">
    <w:name w:val="Normal Indent"/>
    <w:basedOn w:val="1"/>
    <w:qFormat/>
    <w:uiPriority w:val="0"/>
    <w:pPr>
      <w:ind w:firstLine="420" w:firstLineChars="200"/>
    </w:pPr>
  </w:style>
  <w:style w:type="paragraph" w:styleId="13">
    <w:name w:val="caption"/>
    <w:basedOn w:val="1"/>
    <w:next w:val="1"/>
    <w:qFormat/>
    <w:uiPriority w:val="0"/>
    <w:pPr>
      <w:jc w:val="center"/>
    </w:pPr>
    <w:rPr>
      <w:rFonts w:eastAsia="黑体"/>
      <w:szCs w:val="21"/>
    </w:rPr>
  </w:style>
  <w:style w:type="paragraph" w:styleId="14">
    <w:name w:val="index 5"/>
    <w:basedOn w:val="1"/>
    <w:next w:val="1"/>
    <w:qFormat/>
    <w:uiPriority w:val="99"/>
    <w:pPr>
      <w:ind w:left="1680"/>
    </w:pPr>
  </w:style>
  <w:style w:type="paragraph" w:styleId="15">
    <w:name w:val="annotation text"/>
    <w:basedOn w:val="1"/>
    <w:link w:val="81"/>
    <w:qFormat/>
    <w:uiPriority w:val="99"/>
    <w:pPr>
      <w:jc w:val="left"/>
    </w:pPr>
  </w:style>
  <w:style w:type="paragraph" w:styleId="16">
    <w:name w:val="Plain Text"/>
    <w:basedOn w:val="1"/>
    <w:next w:val="1"/>
    <w:qFormat/>
    <w:uiPriority w:val="0"/>
    <w:rPr>
      <w:rFonts w:ascii="宋体" w:hAnsi="Courier New"/>
    </w:rPr>
  </w:style>
  <w:style w:type="paragraph" w:styleId="17">
    <w:name w:val="Date"/>
    <w:basedOn w:val="1"/>
    <w:next w:val="1"/>
    <w:qFormat/>
    <w:uiPriority w:val="0"/>
    <w:rPr>
      <w:szCs w:val="21"/>
    </w:rPr>
  </w:style>
  <w:style w:type="paragraph" w:styleId="18">
    <w:name w:val="Body Text Indent 2"/>
    <w:basedOn w:val="1"/>
    <w:qFormat/>
    <w:uiPriority w:val="0"/>
    <w:pPr>
      <w:spacing w:after="120" w:afterLines="0" w:line="480" w:lineRule="auto"/>
      <w:ind w:left="420" w:leftChars="200"/>
    </w:pPr>
  </w:style>
  <w:style w:type="paragraph" w:styleId="19">
    <w:name w:val="Balloon Text"/>
    <w:basedOn w:val="1"/>
    <w:link w:val="80"/>
    <w:qFormat/>
    <w:uiPriority w:val="0"/>
    <w:rPr>
      <w:sz w:val="18"/>
      <w:szCs w:val="18"/>
    </w:rPr>
  </w:style>
  <w:style w:type="paragraph" w:styleId="20">
    <w:name w:val="footer"/>
    <w:basedOn w:val="1"/>
    <w:next w:val="1"/>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200" w:hanging="200" w:hangingChars="200"/>
    </w:pPr>
  </w:style>
  <w:style w:type="paragraph" w:styleId="23">
    <w:name w:val="Body Text Indent 3"/>
    <w:basedOn w:val="1"/>
    <w:qFormat/>
    <w:uiPriority w:val="0"/>
    <w:pPr>
      <w:spacing w:line="360" w:lineRule="auto"/>
      <w:ind w:left="-91" w:firstLine="582" w:firstLineChars="208"/>
    </w:pPr>
    <w:rPr>
      <w:rFonts w:eastAsia="楷体_GB2312"/>
      <w:sz w:val="28"/>
      <w:szCs w:val="24"/>
    </w:rPr>
  </w:style>
  <w:style w:type="paragraph" w:styleId="24">
    <w:name w:val="table of figures"/>
    <w:basedOn w:val="1"/>
    <w:next w:val="1"/>
    <w:qFormat/>
    <w:uiPriority w:val="99"/>
    <w:pPr>
      <w:ind w:left="200" w:leftChars="200" w:hanging="200" w:hangingChars="200"/>
    </w:pPr>
  </w:style>
  <w:style w:type="paragraph" w:styleId="25">
    <w:name w:val="Body Text 2"/>
    <w:basedOn w:val="1"/>
    <w:qFormat/>
    <w:uiPriority w:val="0"/>
    <w:pPr>
      <w:jc w:val="left"/>
    </w:pPr>
    <w:rPr>
      <w:rFonts w:eastAsia="楷体_GB2312"/>
      <w:sz w:val="28"/>
      <w:szCs w:val="24"/>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annotation subject"/>
    <w:basedOn w:val="15"/>
    <w:next w:val="15"/>
    <w:link w:val="82"/>
    <w:qFormat/>
    <w:uiPriority w:val="0"/>
    <w:rPr>
      <w:b/>
      <w:bCs/>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Hyperlink"/>
    <w:basedOn w:val="30"/>
    <w:qFormat/>
    <w:uiPriority w:val="0"/>
    <w:rPr>
      <w:color w:val="0000FF"/>
      <w:u w:val="single"/>
    </w:rPr>
  </w:style>
  <w:style w:type="character" w:styleId="34">
    <w:name w:val="annotation reference"/>
    <w:basedOn w:val="30"/>
    <w:qFormat/>
    <w:uiPriority w:val="0"/>
    <w:rPr>
      <w:sz w:val="21"/>
      <w:szCs w:val="21"/>
    </w:rPr>
  </w:style>
  <w:style w:type="paragraph" w:customStyle="1" w:styleId="35">
    <w:name w:val="Date1"/>
    <w:basedOn w:val="1"/>
    <w:next w:val="1"/>
    <w:qFormat/>
    <w:uiPriority w:val="99"/>
    <w:pPr>
      <w:adjustRightInd w:val="0"/>
      <w:jc w:val="left"/>
      <w:textAlignment w:val="baseline"/>
    </w:pPr>
    <w:rPr>
      <w:rFonts w:ascii="宋体" w:hAnsi="宋体"/>
      <w:sz w:val="28"/>
    </w:rPr>
  </w:style>
  <w:style w:type="paragraph" w:customStyle="1" w:styleId="36">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37">
    <w:name w:val="正文."/>
    <w:basedOn w:val="1"/>
    <w:next w:val="1"/>
    <w:qFormat/>
    <w:uiPriority w:val="0"/>
  </w:style>
  <w:style w:type="paragraph" w:customStyle="1" w:styleId="38">
    <w:name w:val="Default"/>
    <w:next w:val="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环评正文"/>
    <w:basedOn w:val="1"/>
    <w:next w:val="1"/>
    <w:qFormat/>
    <w:uiPriority w:val="0"/>
    <w:pPr>
      <w:spacing w:line="360" w:lineRule="auto"/>
      <w:ind w:firstLine="480" w:firstLineChars="200"/>
    </w:pPr>
    <w:rPr>
      <w:rFonts w:ascii="仿宋_GB2312" w:hAnsi="仿宋_GB2312" w:eastAsia="仿宋_GB2312"/>
      <w:sz w:val="24"/>
      <w:szCs w:val="20"/>
    </w:rPr>
  </w:style>
  <w:style w:type="paragraph" w:customStyle="1" w:styleId="40">
    <w:name w:val="表格"/>
    <w:basedOn w:val="12"/>
    <w:next w:val="1"/>
    <w:qFormat/>
    <w:uiPriority w:val="0"/>
    <w:pPr>
      <w:spacing w:line="240" w:lineRule="atLeast"/>
      <w:jc w:val="center"/>
    </w:pPr>
    <w:rPr>
      <w:szCs w:val="21"/>
    </w:rPr>
  </w:style>
  <w:style w:type="paragraph" w:customStyle="1" w:styleId="41">
    <w:name w:val="表头"/>
    <w:basedOn w:val="22"/>
    <w:next w:val="1"/>
    <w:link w:val="92"/>
    <w:qFormat/>
    <w:uiPriority w:val="0"/>
    <w:pPr>
      <w:adjustRightInd w:val="0"/>
      <w:snapToGrid w:val="0"/>
      <w:ind w:left="0" w:firstLine="0" w:firstLineChars="0"/>
    </w:pPr>
    <w:rPr>
      <w:rFonts w:ascii="Times New Roman" w:hAnsi="Times New Roman" w:eastAsia="黑体"/>
      <w:sz w:val="24"/>
      <w:szCs w:val="28"/>
    </w:rPr>
  </w:style>
  <w:style w:type="paragraph" w:customStyle="1" w:styleId="42">
    <w:name w:val="正文（缩进）"/>
    <w:basedOn w:val="43"/>
    <w:next w:val="1"/>
    <w:qFormat/>
    <w:uiPriority w:val="99"/>
    <w:pPr>
      <w:spacing w:line="360" w:lineRule="auto"/>
      <w:ind w:firstLine="480" w:firstLineChars="200"/>
    </w:pPr>
    <w:rPr>
      <w:sz w:val="24"/>
      <w:szCs w:val="24"/>
    </w:rPr>
  </w:style>
  <w:style w:type="paragraph" w:customStyle="1" w:styleId="43">
    <w:name w:val="正文(首行缩进)"/>
    <w:basedOn w:val="1"/>
    <w:qFormat/>
    <w:uiPriority w:val="0"/>
    <w:pPr>
      <w:spacing w:line="460" w:lineRule="exact"/>
      <w:ind w:firstLine="560" w:firstLineChars="200"/>
    </w:pPr>
    <w:rPr>
      <w:rFonts w:ascii="宋体" w:hAnsi="宋体"/>
      <w:snapToGrid w:val="0"/>
      <w:color w:val="000000"/>
      <w:kern w:val="0"/>
      <w:szCs w:val="24"/>
    </w:rPr>
  </w:style>
  <w:style w:type="paragraph" w:customStyle="1" w:styleId="44">
    <w:name w:val="样式 正文缩进正文缩进2正文缩进 Char Char正文缩进 Char Char Char Char正文缩进 Char ..."/>
    <w:basedOn w:val="12"/>
    <w:qFormat/>
    <w:uiPriority w:val="0"/>
    <w:pPr>
      <w:spacing w:line="360" w:lineRule="auto"/>
      <w:ind w:firstLine="200"/>
    </w:pPr>
    <w:rPr>
      <w:rFonts w:cs="宋体"/>
      <w:sz w:val="24"/>
    </w:rPr>
  </w:style>
  <w:style w:type="paragraph" w:customStyle="1" w:styleId="45">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46">
    <w:name w:val="Char Char Char Char"/>
    <w:basedOn w:val="1"/>
    <w:qFormat/>
    <w:uiPriority w:val="0"/>
    <w:pPr>
      <w:snapToGrid w:val="0"/>
      <w:spacing w:line="360" w:lineRule="auto"/>
      <w:ind w:firstLine="529" w:firstLineChars="200"/>
    </w:pPr>
  </w:style>
  <w:style w:type="paragraph" w:customStyle="1" w:styleId="47">
    <w:name w:val="4正文"/>
    <w:basedOn w:val="1"/>
    <w:qFormat/>
    <w:uiPriority w:val="0"/>
    <w:pPr>
      <w:spacing w:line="240" w:lineRule="exact"/>
      <w:jc w:val="center"/>
    </w:pPr>
    <w:rPr>
      <w:rFonts w:ascii="Calibri" w:hAnsi="Calibri"/>
      <w:szCs w:val="21"/>
    </w:rPr>
  </w:style>
  <w:style w:type="paragraph" w:customStyle="1" w:styleId="48">
    <w:name w:val="表一级标题"/>
    <w:basedOn w:val="1"/>
    <w:link w:val="97"/>
    <w:qFormat/>
    <w:uiPriority w:val="0"/>
    <w:pPr>
      <w:adjustRightInd w:val="0"/>
      <w:snapToGrid w:val="0"/>
      <w:spacing w:before="50" w:beforeLines="50" w:after="50" w:afterLines="50" w:line="240" w:lineRule="auto"/>
      <w:ind w:firstLine="0" w:firstLineChars="0"/>
      <w:jc w:val="left"/>
      <w:textAlignment w:val="baseline"/>
    </w:pPr>
    <w:rPr>
      <w:rFonts w:ascii="Times New Roman" w:hAnsi="Times New Roman" w:eastAsia="宋体"/>
      <w:b/>
      <w:sz w:val="24"/>
    </w:rPr>
  </w:style>
  <w:style w:type="paragraph" w:customStyle="1" w:styleId="49">
    <w:name w:val="报告表正文"/>
    <w:basedOn w:val="1"/>
    <w:link w:val="55"/>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50">
    <w:name w:val="表文"/>
    <w:basedOn w:val="1"/>
    <w:link w:val="88"/>
    <w:qFormat/>
    <w:uiPriority w:val="0"/>
    <w:pPr>
      <w:autoSpaceDE w:val="0"/>
      <w:autoSpaceDN w:val="0"/>
      <w:adjustRightInd w:val="0"/>
      <w:spacing w:line="360" w:lineRule="atLeast"/>
      <w:jc w:val="center"/>
      <w:textAlignment w:val="baseline"/>
    </w:pPr>
    <w:rPr>
      <w:rFonts w:ascii="宋体" w:hAnsi="Tms Rmn"/>
      <w:kern w:val="0"/>
      <w:sz w:val="24"/>
    </w:rPr>
  </w:style>
  <w:style w:type="paragraph" w:customStyle="1" w:styleId="51">
    <w:name w:val="表内文字"/>
    <w:basedOn w:val="1"/>
    <w:qFormat/>
    <w:uiPriority w:val="0"/>
    <w:pPr>
      <w:spacing w:line="320" w:lineRule="exact"/>
      <w:jc w:val="center"/>
    </w:pPr>
    <w:rPr>
      <w:rFonts w:eastAsia="仿宋_GB2312"/>
      <w:szCs w:val="24"/>
    </w:rPr>
  </w:style>
  <w:style w:type="paragraph" w:customStyle="1" w:styleId="52">
    <w:name w:val="表二级标题"/>
    <w:basedOn w:val="1"/>
    <w:qFormat/>
    <w:uiPriority w:val="0"/>
    <w:pPr>
      <w:adjustRightInd w:val="0"/>
      <w:snapToGrid w:val="0"/>
      <w:spacing w:before="50" w:beforeLines="50" w:after="50" w:afterLines="50" w:line="240" w:lineRule="auto"/>
      <w:ind w:firstLine="720" w:firstLineChars="200"/>
      <w:jc w:val="left"/>
    </w:pPr>
    <w:rPr>
      <w:rFonts w:ascii="Times New Roman" w:hAnsi="Times New Roman" w:eastAsia="宋体"/>
      <w:b/>
      <w:kern w:val="44"/>
      <w:sz w:val="24"/>
      <w:szCs w:val="24"/>
    </w:rPr>
  </w:style>
  <w:style w:type="paragraph" w:customStyle="1" w:styleId="53">
    <w:name w:val="xl26"/>
    <w:basedOn w:val="1"/>
    <w:qFormat/>
    <w:uiPriority w:val="0"/>
    <w:pPr>
      <w:widowControl/>
      <w:spacing w:before="100" w:after="100"/>
      <w:jc w:val="center"/>
    </w:pPr>
    <w:rPr>
      <w:kern w:val="0"/>
    </w:rPr>
  </w:style>
  <w:style w:type="paragraph" w:customStyle="1" w:styleId="54">
    <w:name w:val="表格文字"/>
    <w:next w:val="1"/>
    <w:qFormat/>
    <w:uiPriority w:val="0"/>
    <w:pPr>
      <w:spacing w:beforeLines="10" w:afterLines="10" w:line="0" w:lineRule="atLeast"/>
      <w:jc w:val="center"/>
    </w:pPr>
    <w:rPr>
      <w:rFonts w:ascii="Times New Roman" w:hAnsi="Times New Roman" w:eastAsia="宋体" w:cs="Times New Roman"/>
      <w:kern w:val="2"/>
      <w:sz w:val="18"/>
      <w:szCs w:val="21"/>
      <w:lang w:val="en-US" w:eastAsia="zh-CN" w:bidi="ar-SA"/>
    </w:rPr>
  </w:style>
  <w:style w:type="character" w:customStyle="1" w:styleId="55">
    <w:name w:val="报告表正文 Char"/>
    <w:link w:val="49"/>
    <w:qFormat/>
    <w:uiPriority w:val="0"/>
    <w:rPr>
      <w:rFonts w:ascii="Times New Roman" w:hAnsi="Times New Roman" w:eastAsia="仿宋_GB2312"/>
      <w:color w:val="000000"/>
      <w:kern w:val="16"/>
      <w:sz w:val="24"/>
      <w:szCs w:val="24"/>
    </w:rPr>
  </w:style>
  <w:style w:type="paragraph" w:customStyle="1" w:styleId="56">
    <w:name w:val="正文1"/>
    <w:basedOn w:val="1"/>
    <w:next w:val="1"/>
    <w:qFormat/>
    <w:uiPriority w:val="0"/>
    <w:pPr>
      <w:snapToGrid w:val="0"/>
      <w:spacing w:line="360" w:lineRule="atLeast"/>
      <w:jc w:val="center"/>
    </w:pPr>
    <w:rPr>
      <w:kern w:val="21"/>
    </w:rPr>
  </w:style>
  <w:style w:type="paragraph" w:customStyle="1" w:styleId="57">
    <w:name w:val="【正文】"/>
    <w:basedOn w:val="1"/>
    <w:qFormat/>
    <w:uiPriority w:val="0"/>
    <w:pPr>
      <w:spacing w:line="440" w:lineRule="exact"/>
      <w:ind w:firstLine="544" w:firstLineChars="200"/>
    </w:pPr>
    <w:rPr>
      <w:kern w:val="0"/>
      <w:sz w:val="24"/>
    </w:rPr>
  </w:style>
  <w:style w:type="paragraph" w:customStyle="1" w:styleId="58">
    <w:name w:val="表 一级标题"/>
    <w:basedOn w:val="1"/>
    <w:qFormat/>
    <w:uiPriority w:val="0"/>
    <w:pPr>
      <w:adjustRightInd w:val="0"/>
      <w:snapToGrid w:val="0"/>
      <w:spacing w:line="360" w:lineRule="auto"/>
    </w:pPr>
    <w:rPr>
      <w:b/>
      <w:sz w:val="24"/>
      <w:szCs w:val="28"/>
    </w:rPr>
  </w:style>
  <w:style w:type="paragraph" w:customStyle="1" w:styleId="59">
    <w:name w:val="默认段落字体 Para Char"/>
    <w:basedOn w:val="1"/>
    <w:qFormat/>
    <w:uiPriority w:val="0"/>
    <w:pPr>
      <w:adjustRightInd w:val="0"/>
      <w:snapToGrid w:val="0"/>
      <w:spacing w:line="360" w:lineRule="auto"/>
      <w:ind w:firstLine="200" w:firstLineChars="200"/>
    </w:pPr>
  </w:style>
  <w:style w:type="paragraph" w:customStyle="1" w:styleId="60">
    <w:name w:val="中文报告书样式"/>
    <w:basedOn w:val="1"/>
    <w:qFormat/>
    <w:uiPriority w:val="0"/>
    <w:pPr>
      <w:adjustRightInd w:val="0"/>
      <w:spacing w:line="480" w:lineRule="atLeast"/>
      <w:ind w:firstLine="482"/>
      <w:textAlignment w:val="baseline"/>
    </w:pPr>
    <w:rPr>
      <w:kern w:val="24"/>
      <w:sz w:val="24"/>
    </w:rPr>
  </w:style>
  <w:style w:type="paragraph" w:customStyle="1" w:styleId="61">
    <w:name w:val="表格标题"/>
    <w:basedOn w:val="9"/>
    <w:next w:val="1"/>
    <w:qFormat/>
    <w:uiPriority w:val="0"/>
    <w:pPr>
      <w:spacing w:line="240" w:lineRule="auto"/>
      <w:ind w:firstLine="0" w:firstLineChars="0"/>
      <w:jc w:val="center"/>
    </w:pPr>
    <w:rPr>
      <w:szCs w:val="21"/>
    </w:rPr>
  </w:style>
  <w:style w:type="paragraph" w:customStyle="1" w:styleId="62">
    <w:name w:val="表格内容"/>
    <w:basedOn w:val="1"/>
    <w:qFormat/>
    <w:uiPriority w:val="0"/>
    <w:pPr>
      <w:adjustRightInd w:val="0"/>
      <w:snapToGrid w:val="0"/>
      <w:spacing w:line="240" w:lineRule="atLeast"/>
      <w:jc w:val="center"/>
    </w:pPr>
    <w:rPr>
      <w:szCs w:val="21"/>
    </w:rPr>
  </w:style>
  <w:style w:type="paragraph" w:customStyle="1" w:styleId="63">
    <w:name w:val="居中正文"/>
    <w:basedOn w:val="4"/>
    <w:qFormat/>
    <w:uiPriority w:val="0"/>
    <w:pPr>
      <w:adjustRightInd w:val="0"/>
      <w:spacing w:before="120" w:after="0" w:line="360" w:lineRule="auto"/>
      <w:ind w:firstLine="0" w:firstLineChars="0"/>
      <w:jc w:val="center"/>
      <w:textAlignment w:val="baseline"/>
    </w:pPr>
    <w:rPr>
      <w:rFonts w:ascii="宋体"/>
      <w:kern w:val="28"/>
      <w:sz w:val="24"/>
    </w:rPr>
  </w:style>
  <w:style w:type="paragraph" w:customStyle="1" w:styleId="64">
    <w:name w:val="正文2"/>
    <w:qFormat/>
    <w:uiPriority w:val="0"/>
    <w:pPr>
      <w:jc w:val="both"/>
    </w:pPr>
    <w:rPr>
      <w:rFonts w:ascii="Times New Roman" w:hAnsi="Times New Roman" w:eastAsia="宋体" w:cs="Times New Roman"/>
      <w:kern w:val="2"/>
      <w:sz w:val="21"/>
      <w:szCs w:val="21"/>
      <w:lang w:val="en-US" w:eastAsia="zh-CN" w:bidi="ar-SA"/>
    </w:rPr>
  </w:style>
  <w:style w:type="paragraph" w:styleId="65">
    <w:name w:val="List Paragraph"/>
    <w:basedOn w:val="1"/>
    <w:qFormat/>
    <w:uiPriority w:val="99"/>
    <w:pPr>
      <w:ind w:firstLine="420" w:firstLineChars="200"/>
    </w:pPr>
  </w:style>
  <w:style w:type="paragraph" w:customStyle="1" w:styleId="66">
    <w:name w:val="default"/>
    <w:basedOn w:val="1"/>
    <w:qFormat/>
    <w:uiPriority w:val="99"/>
    <w:pPr>
      <w:widowControl/>
      <w:spacing w:beforeAutospacing="1" w:afterAutospacing="1" w:line="408" w:lineRule="auto"/>
      <w:jc w:val="left"/>
    </w:pPr>
    <w:rPr>
      <w:rFonts w:ascii="宋体" w:hAnsi="宋体" w:eastAsia="微软雅黑"/>
      <w:kern w:val="0"/>
      <w:sz w:val="28"/>
    </w:rPr>
  </w:style>
  <w:style w:type="paragraph" w:customStyle="1" w:styleId="67">
    <w:name w:val="表头111"/>
    <w:basedOn w:val="1"/>
    <w:qFormat/>
    <w:uiPriority w:val="0"/>
    <w:pPr>
      <w:jc w:val="center"/>
    </w:pPr>
    <w:rPr>
      <w:b/>
      <w:szCs w:val="21"/>
    </w:rPr>
  </w:style>
  <w:style w:type="paragraph" w:customStyle="1" w:styleId="68">
    <w:name w:val="报告表小标题"/>
    <w:basedOn w:val="1"/>
    <w:qFormat/>
    <w:uiPriority w:val="0"/>
    <w:pPr>
      <w:spacing w:line="360" w:lineRule="auto"/>
    </w:pPr>
    <w:rPr>
      <w:b/>
      <w:sz w:val="24"/>
    </w:rPr>
  </w:style>
  <w:style w:type="character" w:customStyle="1" w:styleId="69">
    <w:name w:val="font41"/>
    <w:qFormat/>
    <w:uiPriority w:val="0"/>
    <w:rPr>
      <w:rFonts w:hint="default" w:ascii="Times New Roman" w:hAnsi="Times New Roman" w:cs="Times New Roman"/>
      <w:color w:val="000000"/>
      <w:sz w:val="21"/>
      <w:szCs w:val="21"/>
      <w:u w:val="none"/>
    </w:rPr>
  </w:style>
  <w:style w:type="character" w:customStyle="1" w:styleId="70">
    <w:name w:val="font51"/>
    <w:qFormat/>
    <w:uiPriority w:val="0"/>
    <w:rPr>
      <w:rFonts w:hint="eastAsia" w:ascii="宋体" w:hAnsi="宋体" w:eastAsia="宋体" w:cs="宋体"/>
      <w:b/>
      <w:color w:val="000000"/>
      <w:sz w:val="21"/>
      <w:szCs w:val="21"/>
      <w:u w:val="none"/>
    </w:rPr>
  </w:style>
  <w:style w:type="character" w:customStyle="1" w:styleId="71">
    <w:name w:val="font21"/>
    <w:qFormat/>
    <w:uiPriority w:val="0"/>
    <w:rPr>
      <w:rFonts w:hint="eastAsia" w:ascii="宋体" w:hAnsi="宋体" w:eastAsia="宋体" w:cs="宋体"/>
      <w:color w:val="FF0000"/>
      <w:sz w:val="24"/>
      <w:szCs w:val="24"/>
      <w:u w:val="none"/>
    </w:rPr>
  </w:style>
  <w:style w:type="character" w:customStyle="1" w:styleId="72">
    <w:name w:val="font11"/>
    <w:qFormat/>
    <w:uiPriority w:val="0"/>
    <w:rPr>
      <w:rFonts w:hint="eastAsia" w:ascii="宋体" w:hAnsi="宋体" w:eastAsia="宋体" w:cs="宋体"/>
      <w:color w:val="000000"/>
      <w:sz w:val="21"/>
      <w:szCs w:val="21"/>
      <w:u w:val="none"/>
    </w:rPr>
  </w:style>
  <w:style w:type="character" w:customStyle="1" w:styleId="73">
    <w:name w:val="标题 1 字符"/>
    <w:link w:val="7"/>
    <w:qFormat/>
    <w:uiPriority w:val="0"/>
    <w:rPr>
      <w:rFonts w:ascii="Times New Roman" w:hAnsi="Times New Roman" w:eastAsia="黑体"/>
      <w:kern w:val="44"/>
      <w:sz w:val="30"/>
    </w:rPr>
  </w:style>
  <w:style w:type="paragraph" w:customStyle="1" w:styleId="74">
    <w:name w:val="Table Paragraph"/>
    <w:basedOn w:val="1"/>
    <w:qFormat/>
    <w:uiPriority w:val="0"/>
    <w:pPr>
      <w:autoSpaceDE w:val="0"/>
      <w:autoSpaceDN w:val="0"/>
      <w:jc w:val="center"/>
    </w:pPr>
    <w:rPr>
      <w:kern w:val="0"/>
      <w:sz w:val="22"/>
      <w:szCs w:val="22"/>
    </w:rPr>
  </w:style>
  <w:style w:type="paragraph" w:customStyle="1" w:styleId="75">
    <w:name w:val="表格字"/>
    <w:basedOn w:val="22"/>
    <w:qFormat/>
    <w:uiPriority w:val="0"/>
    <w:rPr>
      <w:rFonts w:ascii="Calibri" w:hAnsi="Calibri"/>
      <w:sz w:val="20"/>
    </w:rPr>
  </w:style>
  <w:style w:type="paragraph" w:customStyle="1" w:styleId="76">
    <w:name w:val="正文格式－表格－中"/>
    <w:basedOn w:val="1"/>
    <w:semiHidden/>
    <w:qFormat/>
    <w:uiPriority w:val="0"/>
    <w:pPr>
      <w:widowControl/>
      <w:snapToGrid w:val="0"/>
      <w:jc w:val="center"/>
      <w:textAlignment w:val="center"/>
    </w:pPr>
    <w:rPr>
      <w:sz w:val="24"/>
      <w:szCs w:val="24"/>
    </w:rPr>
  </w:style>
  <w:style w:type="paragraph" w:customStyle="1" w:styleId="77">
    <w:name w:val="环评正文2"/>
    <w:basedOn w:val="1"/>
    <w:qFormat/>
    <w:uiPriority w:val="0"/>
    <w:pPr>
      <w:spacing w:line="360" w:lineRule="auto"/>
    </w:pPr>
    <w:rPr>
      <w:rFonts w:ascii="宋体" w:hAnsi="宋体" w:eastAsia="仿宋_GB2312"/>
      <w:color w:val="000000"/>
      <w:kern w:val="16"/>
      <w:sz w:val="24"/>
      <w:szCs w:val="24"/>
    </w:rPr>
  </w:style>
  <w:style w:type="paragraph" w:customStyle="1" w:styleId="78">
    <w:name w:val="书 正文"/>
    <w:basedOn w:val="1"/>
    <w:qFormat/>
    <w:uiPriority w:val="0"/>
    <w:pPr>
      <w:ind w:firstLine="514" w:firstLineChars="200"/>
    </w:pPr>
    <w:rPr>
      <w:kern w:val="24"/>
      <w:sz w:val="24"/>
    </w:rPr>
  </w:style>
  <w:style w:type="paragraph" w:customStyle="1" w:styleId="79">
    <w:name w:val="报告表表头"/>
    <w:basedOn w:val="50"/>
    <w:next w:val="40"/>
    <w:qFormat/>
    <w:uiPriority w:val="0"/>
    <w:pPr>
      <w:snapToGrid w:val="0"/>
      <w:spacing w:line="240" w:lineRule="auto"/>
    </w:pPr>
    <w:rPr>
      <w:rFonts w:ascii="Times New Roman" w:hAnsi="Times New Roman" w:eastAsia="宋体"/>
      <w:b/>
      <w:sz w:val="21"/>
      <w:szCs w:val="28"/>
    </w:rPr>
  </w:style>
  <w:style w:type="character" w:customStyle="1" w:styleId="80">
    <w:name w:val="批注框文本 字符"/>
    <w:basedOn w:val="30"/>
    <w:link w:val="19"/>
    <w:qFormat/>
    <w:uiPriority w:val="0"/>
    <w:rPr>
      <w:rFonts w:ascii="Times New Roman" w:hAnsi="Times New Roman" w:eastAsia="宋体" w:cs="Times New Roman"/>
      <w:kern w:val="2"/>
      <w:sz w:val="18"/>
      <w:szCs w:val="18"/>
    </w:rPr>
  </w:style>
  <w:style w:type="character" w:customStyle="1" w:styleId="81">
    <w:name w:val="批注文字 字符"/>
    <w:basedOn w:val="30"/>
    <w:link w:val="15"/>
    <w:qFormat/>
    <w:uiPriority w:val="99"/>
    <w:rPr>
      <w:rFonts w:ascii="Times New Roman" w:hAnsi="Times New Roman" w:eastAsia="宋体" w:cs="Times New Roman"/>
      <w:kern w:val="2"/>
      <w:sz w:val="21"/>
    </w:rPr>
  </w:style>
  <w:style w:type="character" w:customStyle="1" w:styleId="82">
    <w:name w:val="批注主题 字符"/>
    <w:basedOn w:val="81"/>
    <w:link w:val="27"/>
    <w:qFormat/>
    <w:uiPriority w:val="0"/>
    <w:rPr>
      <w:rFonts w:ascii="Times New Roman" w:hAnsi="Times New Roman" w:eastAsia="宋体" w:cs="Times New Roman"/>
      <w:b/>
      <w:bCs/>
      <w:kern w:val="2"/>
      <w:sz w:val="21"/>
    </w:rPr>
  </w:style>
  <w:style w:type="paragraph" w:customStyle="1" w:styleId="83">
    <w:name w:val="No Spacing"/>
    <w:qFormat/>
    <w:uiPriority w:val="0"/>
    <w:pPr>
      <w:widowControl w:val="0"/>
      <w:spacing w:beforeLines="50"/>
      <w:jc w:val="both"/>
    </w:pPr>
    <w:rPr>
      <w:rFonts w:ascii="Calibri" w:hAnsi="Calibri" w:eastAsia="宋体" w:cs="Times New Roman"/>
      <w:kern w:val="2"/>
      <w:sz w:val="21"/>
      <w:szCs w:val="22"/>
      <w:lang w:val="en-US" w:eastAsia="zh-CN" w:bidi="ar-SA"/>
    </w:rPr>
  </w:style>
  <w:style w:type="character" w:customStyle="1" w:styleId="84">
    <w:name w:val="标题 2 Char Char Char Char Char Char Char Char Char Char Char Char Char Char Char Char Char Char Char Char Char Char Char Char"/>
    <w:basedOn w:val="30"/>
    <w:qFormat/>
    <w:uiPriority w:val="0"/>
    <w:rPr>
      <w:rFonts w:ascii="Arial" w:hAnsi="Arial" w:eastAsia="黑体"/>
      <w:b/>
      <w:bCs/>
      <w:kern w:val="2"/>
      <w:sz w:val="32"/>
      <w:szCs w:val="32"/>
      <w:lang w:val="en-US" w:eastAsia="zh-CN" w:bidi="ar-SA"/>
    </w:rPr>
  </w:style>
  <w:style w:type="paragraph" w:customStyle="1" w:styleId="85">
    <w:name w:val="标题　4"/>
    <w:basedOn w:val="10"/>
    <w:qFormat/>
    <w:uiPriority w:val="0"/>
    <w:pPr>
      <w:numPr>
        <w:ilvl w:val="0"/>
        <w:numId w:val="0"/>
      </w:numPr>
      <w:spacing w:before="20" w:beforeLines="20" w:after="20" w:afterLines="20"/>
    </w:pPr>
    <w:rPr>
      <w:rFonts w:ascii="Times New Roman" w:hAnsi="Times New Roman"/>
      <w:b w:val="0"/>
      <w:kern w:val="0"/>
      <w:szCs w:val="20"/>
    </w:rPr>
  </w:style>
  <w:style w:type="paragraph" w:customStyle="1" w:styleId="86">
    <w:name w:val="【表头】"/>
    <w:basedOn w:val="1"/>
    <w:qFormat/>
    <w:uiPriority w:val="0"/>
    <w:pPr>
      <w:spacing w:line="460" w:lineRule="exact"/>
      <w:jc w:val="center"/>
    </w:pPr>
    <w:rPr>
      <w:rFonts w:eastAsia="黑体" w:cs="宋体"/>
      <w:kern w:val="0"/>
      <w:szCs w:val="20"/>
    </w:rPr>
  </w:style>
  <w:style w:type="paragraph" w:customStyle="1" w:styleId="87">
    <w:name w:val="样式1"/>
    <w:basedOn w:val="1"/>
    <w:qFormat/>
    <w:uiPriority w:val="0"/>
    <w:rPr>
      <w:rFonts w:ascii="Times New Roman"/>
    </w:rPr>
  </w:style>
  <w:style w:type="character" w:customStyle="1" w:styleId="88">
    <w:name w:val="表文 Char"/>
    <w:link w:val="50"/>
    <w:qFormat/>
    <w:uiPriority w:val="0"/>
    <w:rPr>
      <w:rFonts w:ascii="宋体" w:hAnsi="Tms Rmn"/>
      <w:kern w:val="0"/>
      <w:sz w:val="24"/>
    </w:rPr>
  </w:style>
  <w:style w:type="table" w:customStyle="1" w:styleId="8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90">
    <w:name w:val="表号题注"/>
    <w:basedOn w:val="1"/>
    <w:link w:val="106"/>
    <w:qFormat/>
    <w:uiPriority w:val="0"/>
    <w:pPr>
      <w:spacing w:line="360" w:lineRule="auto"/>
    </w:pPr>
    <w:rPr>
      <w:rFonts w:hAnsi="宋体"/>
      <w:color w:val="000000"/>
      <w:lang w:bidi="en-US"/>
    </w:rPr>
  </w:style>
  <w:style w:type="character" w:customStyle="1" w:styleId="91">
    <w:name w:val="表号题注 Char Char"/>
    <w:link w:val="90"/>
    <w:qFormat/>
    <w:uiPriority w:val="0"/>
    <w:rPr>
      <w:rFonts w:hAnsi="宋体"/>
      <w:color w:val="000000"/>
      <w:lang w:bidi="en-US"/>
    </w:rPr>
  </w:style>
  <w:style w:type="character" w:customStyle="1" w:styleId="92">
    <w:name w:val="表头 Char"/>
    <w:link w:val="41"/>
    <w:qFormat/>
    <w:uiPriority w:val="0"/>
    <w:rPr>
      <w:rFonts w:ascii="Times New Roman" w:hAnsi="Times New Roman" w:eastAsia="黑体"/>
      <w:sz w:val="24"/>
      <w:szCs w:val="28"/>
    </w:rPr>
  </w:style>
  <w:style w:type="character" w:customStyle="1" w:styleId="93">
    <w:name w:val="15"/>
    <w:basedOn w:val="30"/>
    <w:qFormat/>
    <w:uiPriority w:val="0"/>
    <w:rPr>
      <w:rFonts w:hint="default" w:ascii="Times New Roman" w:hAnsi="Times New Roman" w:cs="Times New Roman"/>
      <w:color w:val="0000FF"/>
      <w:u w:val="single"/>
    </w:rPr>
  </w:style>
  <w:style w:type="paragraph" w:customStyle="1" w:styleId="94">
    <w:name w:val="预测表格"/>
    <w:basedOn w:val="1"/>
    <w:qFormat/>
    <w:uiPriority w:val="0"/>
    <w:pPr>
      <w:ind w:left="-15" w:leftChars="-15" w:right="-15" w:rightChars="-15"/>
      <w:jc w:val="center"/>
    </w:pPr>
    <w:rPr>
      <w:rFonts w:ascii="宋体" w:hAnsi="宋体"/>
      <w:spacing w:val="-5"/>
      <w:sz w:val="18"/>
      <w:szCs w:val="18"/>
    </w:rPr>
  </w:style>
  <w:style w:type="table" w:customStyle="1" w:styleId="95">
    <w:name w:val="表格主题11"/>
    <w:basedOn w:val="28"/>
    <w:qFormat/>
    <w:uiPriority w:val="0"/>
    <w:pPr>
      <w:widowControl w:val="0"/>
      <w:jc w:val="both"/>
    </w:pPr>
    <w:rPr>
      <w:rFonts w:ascii="宋体"/>
      <w:sz w:val="21"/>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vAlign w:val="center"/>
    </w:tcPr>
    <w:tblStylePr w:type="firstRow">
      <w:pPr>
        <w:wordWrap/>
        <w:spacing w:before="0" w:beforeLines="0" w:beforeAutospacing="0" w:after="0" w:afterLines="0" w:afterAutospacing="0"/>
        <w:ind w:left="0" w:leftChars="0" w:right="0" w:rightChars="0"/>
      </w:pPr>
      <w:rPr>
        <w:b/>
        <w:sz w:val="21"/>
      </w:rPr>
    </w:tblStylePr>
  </w:style>
  <w:style w:type="paragraph" w:customStyle="1" w:styleId="96">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character" w:customStyle="1" w:styleId="97">
    <w:name w:val="表一级标题 Char"/>
    <w:link w:val="48"/>
    <w:qFormat/>
    <w:uiPriority w:val="0"/>
    <w:rPr>
      <w:rFonts w:ascii="Times New Roman" w:hAnsi="Times New Roman" w:eastAsia="宋体"/>
      <w:b/>
      <w:sz w:val="24"/>
    </w:rPr>
  </w:style>
  <w:style w:type="paragraph" w:customStyle="1" w:styleId="98">
    <w:name w:val="表 正文"/>
    <w:basedOn w:val="1"/>
    <w:qFormat/>
    <w:uiPriority w:val="0"/>
    <w:pPr>
      <w:snapToGrid w:val="0"/>
      <w:spacing w:line="360" w:lineRule="auto"/>
      <w:ind w:firstLine="200" w:firstLineChars="200"/>
    </w:pPr>
    <w:rPr>
      <w:kern w:val="44"/>
      <w:sz w:val="24"/>
      <w:szCs w:val="24"/>
    </w:rPr>
  </w:style>
  <w:style w:type="paragraph" w:customStyle="1" w:styleId="99">
    <w:name w:val="正文缩近"/>
    <w:basedOn w:val="1"/>
    <w:qFormat/>
    <w:uiPriority w:val="0"/>
    <w:pPr>
      <w:spacing w:line="360" w:lineRule="auto"/>
      <w:ind w:firstLine="560" w:firstLineChars="200"/>
    </w:pPr>
    <w:rPr>
      <w:sz w:val="28"/>
      <w:szCs w:val="28"/>
    </w:rPr>
  </w:style>
  <w:style w:type="paragraph" w:customStyle="1" w:styleId="100">
    <w:name w:val="表格文字1"/>
    <w:basedOn w:val="1"/>
    <w:qFormat/>
    <w:uiPriority w:val="0"/>
    <w:pPr>
      <w:tabs>
        <w:tab w:val="left" w:pos="0"/>
      </w:tabs>
      <w:autoSpaceDE w:val="0"/>
      <w:autoSpaceDN w:val="0"/>
      <w:adjustRightInd w:val="0"/>
      <w:spacing w:before="60"/>
      <w:ind w:left="57" w:right="57"/>
      <w:jc w:val="center"/>
      <w:textAlignment w:val="baseline"/>
    </w:pPr>
  </w:style>
  <w:style w:type="paragraph" w:customStyle="1" w:styleId="101">
    <w:name w:val="小标题"/>
    <w:basedOn w:val="1"/>
    <w:qFormat/>
    <w:uiPriority w:val="0"/>
    <w:pPr>
      <w:spacing w:line="240" w:lineRule="auto"/>
      <w:ind w:firstLine="0" w:firstLineChars="0"/>
      <w:jc w:val="center"/>
    </w:pPr>
    <w:rPr>
      <w:rFonts w:hint="eastAsia" w:cs="Times New Roman"/>
      <w:b/>
      <w:sz w:val="21"/>
    </w:rPr>
  </w:style>
  <w:style w:type="table" w:customStyle="1" w:styleId="102">
    <w:name w:val="表格主题1"/>
    <w:basedOn w:val="28"/>
    <w:qFormat/>
    <w:uiPriority w:val="0"/>
    <w:pPr>
      <w:widowControl w:val="0"/>
      <w:jc w:val="both"/>
    </w:pPr>
    <w:rPr>
      <w:sz w:val="21"/>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rPr>
      <w:jc w:val="center"/>
    </w:trPr>
    <w:tcPr>
      <w:vAlign w:val="center"/>
    </w:tcPr>
    <w:tblStylePr w:type="firstRow">
      <w:pPr>
        <w:wordWrap/>
        <w:spacing w:before="0" w:beforeLines="0" w:beforeAutospacing="0" w:after="0" w:afterLines="0" w:afterAutospacing="0"/>
        <w:ind w:left="0" w:leftChars="0" w:right="0" w:rightChars="0"/>
      </w:pPr>
      <w:rPr>
        <w:b/>
        <w:sz w:val="21"/>
      </w:rPr>
    </w:tblStylePr>
  </w:style>
  <w:style w:type="paragraph" w:customStyle="1" w:styleId="103">
    <w:name w:val="样式 仿宋_GB2312 小四 行距: 1.5 倍行距"/>
    <w:basedOn w:val="1"/>
    <w:qFormat/>
    <w:uiPriority w:val="0"/>
    <w:pPr>
      <w:spacing w:line="360" w:lineRule="auto"/>
      <w:ind w:firstLine="200" w:firstLineChars="200"/>
    </w:pPr>
    <w:rPr>
      <w:rFonts w:ascii="仿宋_GB2312" w:hAnsi="宋体" w:eastAsia="仿宋_GB2312"/>
      <w:sz w:val="24"/>
      <w:szCs w:val="20"/>
    </w:rPr>
  </w:style>
  <w:style w:type="character" w:customStyle="1" w:styleId="104">
    <w:name w:val="样式 仿宋_GB2312 小四5"/>
    <w:qFormat/>
    <w:uiPriority w:val="0"/>
    <w:rPr>
      <w:rFonts w:ascii="Times New Roman" w:hAnsi="Times New Roman" w:eastAsia="宋体"/>
      <w:sz w:val="24"/>
      <w:szCs w:val="24"/>
    </w:rPr>
  </w:style>
  <w:style w:type="paragraph" w:customStyle="1" w:styleId="105">
    <w:name w:val="表头 + 行距: 1.5 倍行距"/>
    <w:basedOn w:val="13"/>
    <w:qFormat/>
    <w:uiPriority w:val="0"/>
    <w:pPr>
      <w:spacing w:line="360" w:lineRule="auto"/>
      <w:jc w:val="center"/>
    </w:pPr>
    <w:rPr>
      <w:rFonts w:ascii="Arial" w:hAnsi="Arial"/>
      <w:sz w:val="21"/>
      <w:szCs w:val="24"/>
    </w:rPr>
  </w:style>
  <w:style w:type="character" w:customStyle="1" w:styleId="106">
    <w:name w:val="表号题注 Char"/>
    <w:link w:val="90"/>
    <w:qFormat/>
    <w:uiPriority w:val="0"/>
    <w:rPr>
      <w:rFonts w:ascii="宋体" w:hAnsi="仿宋_GB2312"/>
      <w:szCs w:val="21"/>
    </w:rPr>
  </w:style>
  <w:style w:type="character" w:customStyle="1" w:styleId="107">
    <w:name w:val="font14"/>
    <w:basedOn w:val="30"/>
    <w:qFormat/>
    <w:uiPriority w:val="0"/>
    <w:rPr>
      <w:rFonts w:hint="eastAsia" w:ascii="宋体" w:hAnsi="宋体" w:eastAsia="宋体" w:cs="宋体"/>
      <w:color w:val="000000"/>
      <w:sz w:val="21"/>
      <w:szCs w:val="21"/>
      <w:u w:val="none"/>
    </w:rPr>
  </w:style>
  <w:style w:type="paragraph" w:customStyle="1" w:styleId="108">
    <w:name w:val="样式 样式 标题 3(亮3) + 行距: 固定值 26 磅 + (西文) 宋体"/>
    <w:basedOn w:val="109"/>
    <w:qFormat/>
    <w:uiPriority w:val="0"/>
    <w:pPr>
      <w:spacing w:before="120" w:after="120" w:line="360" w:lineRule="auto"/>
    </w:pPr>
    <w:rPr>
      <w:rFonts w:ascii="宋体" w:hAnsi="宋体"/>
    </w:rPr>
  </w:style>
  <w:style w:type="paragraph" w:customStyle="1" w:styleId="109">
    <w:name w:val="样式 标题 3(亮3) + 行距: 固定值 26 磅"/>
    <w:basedOn w:val="9"/>
    <w:qFormat/>
    <w:uiPriority w:val="0"/>
    <w:pPr>
      <w:spacing w:before="60" w:after="60" w:line="360" w:lineRule="auto"/>
    </w:pPr>
    <w:rPr>
      <w:rFonts w:cs="宋体"/>
      <w:szCs w:val="20"/>
    </w:rPr>
  </w:style>
  <w:style w:type="paragraph" w:customStyle="1" w:styleId="110">
    <w:name w:val="正文（首行缩进两字）"/>
    <w:basedOn w:val="1"/>
    <w:qFormat/>
    <w:uiPriority w:val="0"/>
    <w:pPr>
      <w:spacing w:line="360" w:lineRule="auto"/>
      <w:ind w:firstLine="420" w:firstLineChars="200"/>
    </w:pPr>
    <w:rPr>
      <w:rFonts w:ascii="Times New Roman" w:hAnsi="Times New Roman" w:eastAsia="宋体" w:cs="Times New Roman"/>
      <w:sz w:val="28"/>
      <w:szCs w:val="21"/>
    </w:rPr>
  </w:style>
  <w:style w:type="paragraph" w:customStyle="1" w:styleId="111">
    <w:name w:val="样式 仿宋_GB2312 四号 首行缩进:  0.85 厘米 行距: 1.5 倍行距"/>
    <w:basedOn w:val="1"/>
    <w:qFormat/>
    <w:uiPriority w:val="0"/>
    <w:pPr>
      <w:spacing w:line="360" w:lineRule="auto"/>
      <w:ind w:firstLine="200" w:firstLineChars="200"/>
    </w:pPr>
    <w:rPr>
      <w:rFonts w:ascii="仿宋_GB2312" w:hAnsi="宋体" w:cs="宋体"/>
      <w:sz w:val="24"/>
      <w:szCs w:val="20"/>
    </w:rPr>
  </w:style>
  <w:style w:type="paragraph" w:customStyle="1" w:styleId="112">
    <w:name w:val="xl4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36789</Words>
  <Characters>39367</Characters>
  <Lines>415</Lines>
  <Paragraphs>117</Paragraphs>
  <TotalTime>155</TotalTime>
  <ScaleCrop>false</ScaleCrop>
  <LinksUpToDate>false</LinksUpToDate>
  <CharactersWithSpaces>40001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2020-04-02T02:31:00Z</dcterms:created>
  <dc:creator>妮娜</dc:creator>
  <cp:lastModifiedBy>中卫市生态环境局海原县分局收文员</cp:lastModifiedBy>
  <cp:lastPrinted>2020-11-25T08:59:00Z</cp:lastPrinted>
  <dcterms:modified xsi:type="dcterms:W3CDTF">2024-08-01T04:54:39Z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4B3B3499F2A942BE95D6B19F71F699BD_13</vt:lpwstr>
  </property>
</Properties>
</file>