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420" w:leftChars="-200" w:right="-420" w:rightChars="-200"/>
        <w:jc w:val="center"/>
        <w:textAlignment w:val="auto"/>
        <w:rPr>
          <w:rFonts w:hint="eastAsia" w:ascii="Times New Roman" w:hAnsi="Times New Roman" w:eastAsia="方正小标宋_GBK" w:cs="Times New Roman"/>
          <w:b w:val="0"/>
          <w:bCs w:val="0"/>
          <w:spacing w:val="-11"/>
          <w:sz w:val="44"/>
          <w:szCs w:val="44"/>
          <w:lang w:val="en-US" w:eastAsia="zh-CN"/>
        </w:rPr>
      </w:pPr>
      <w:bookmarkStart w:id="0" w:name="_GoBack"/>
      <w:r>
        <w:rPr>
          <w:rFonts w:hint="eastAsia" w:ascii="Times New Roman" w:hAnsi="Times New Roman" w:eastAsia="方正小标宋_GBK" w:cs="Times New Roman"/>
          <w:b w:val="0"/>
          <w:bCs w:val="0"/>
          <w:spacing w:val="-11"/>
          <w:sz w:val="44"/>
          <w:szCs w:val="44"/>
          <w:lang w:val="en-US" w:eastAsia="zh-CN"/>
        </w:rPr>
        <w:t>海原县2024年西河中型灌区海城镇1.7万亩</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420" w:rightChars="-200"/>
        <w:jc w:val="center"/>
        <w:textAlignment w:val="auto"/>
        <w:rPr>
          <w:rFonts w:hint="eastAsia" w:ascii="Times New Roman" w:hAnsi="Times New Roman" w:eastAsia="方正小标宋_GBK" w:cs="Times New Roman"/>
          <w:b w:val="0"/>
          <w:bCs w:val="0"/>
          <w:spacing w:val="-11"/>
          <w:sz w:val="44"/>
          <w:szCs w:val="44"/>
          <w:lang w:val="en-US" w:eastAsia="zh-CN"/>
        </w:rPr>
      </w:pPr>
      <w:r>
        <w:rPr>
          <w:rFonts w:hint="eastAsia" w:ascii="Times New Roman" w:hAnsi="Times New Roman" w:eastAsia="方正小标宋_GBK" w:cs="Times New Roman"/>
          <w:b w:val="0"/>
          <w:bCs w:val="0"/>
          <w:spacing w:val="-11"/>
          <w:sz w:val="44"/>
          <w:szCs w:val="44"/>
          <w:lang w:val="en-US" w:eastAsia="zh-CN"/>
        </w:rPr>
        <w:t>现代高效节水农业建设项目绩效自评报告</w:t>
      </w:r>
      <w:bookmarkEnd w:id="0"/>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一、基本情况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（一）项目概况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1.项目背景</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以习近平新时代中国特色社会主义思想为指导，全面贯彻落实党中央、国务院关于推进乡村振兴、加快农业农村现代化的决策部署，按照自治区党委和政府关于推进用水权、土地权、排污权、山林权“四权”改革工作部署，坚持“以水定城、以水定人、以水定地、以水定产”的原则，以促进农民增收为核心，以提高水资源利用效率为目标，充分利用现有供水工程和蓄水设施，综合应用农艺、农机、工程、生物等技术，北部节水挖潜、中部提质增效、南部开源扩面，大力发展高效节水农业，提高水土资源利用效率，推进农业转型升级，为促进农业现代化、乡村全面振兴提供有力支撑。为认真贯彻落实自治区党委和政府关于推进“四权改革”“以水四定”总体部署和工作要求，强化水资源集约节约利用，提高农业综合生产能力，促进现代农业发展，助推黄河流域生态保护和高质量发展先行区、国家农业绿色发展先行区建设，自治区人民政府办公厅下发《关于加快推进高效节水农业发展的实施意见》（以下简称《意见》），要求大力实施高效节水灌溉工程，优化种植结构，转变用水方式，提高用水效益，建立以信息化管理为重点的现代节水农业产业、生产、经营体系，努力打造国家现代高效节水农业示范区。到 2025 年，全区力争新建和改造提升高效节水农业 300 万亩，灌溉水利用系数提高到 0.6 以上。《意见》要求，北部引黄灌区坚持农业高效用水与生态平衡、盐碱地改良相兼顾，优化调整种植结构，逐步压减水稻面积，节约水量支持本区域酿酒葡萄、枸杞等产业发展和北水南调；中部干旱带坚持农业高效用水与作物产量、品质相兼顾，实施滴灌和水肥一体化工程，节约水量主要用于保障灌区周边延伸供水范围新增的葡萄、枸杞产业发展用水；南部山区坚持农业高效用水与扩大灌溉面积、维系河流生命健康相兼顾，系统谋划和推进固海、固扩扬黄工程更新改造和干渠调蓄工程建设，着</w:t>
      </w:r>
    </w:p>
    <w:p>
      <w:pPr>
        <w:keepNext w:val="0"/>
        <w:keepLines w:val="0"/>
        <w:pageBreakBefore w:val="0"/>
        <w:widowControl w:val="0"/>
        <w:kinsoku/>
        <w:wordWrap/>
        <w:topLinePunct w:val="0"/>
        <w:autoSpaceDE/>
        <w:autoSpaceDN/>
        <w:bidi w:val="0"/>
        <w:adjustRightInd/>
        <w:spacing w:line="560" w:lineRule="exact"/>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val="en-US" w:eastAsia="zh-CN"/>
        </w:rPr>
        <w:t>力增强骨干泵站、渠道输配水和调水能力，实现北水南调。2024年1月8日，海原县发展和改革局批准《关于海原县2024年西河中型灌区海城镇1.7万亩现代高效节水农业建设项目(压砂地退出区产业配套)现代高效节水农业建设项目初步设计报告的批复》（海发改发〔2024〕6号），由海原县农业农村局实施</w:t>
      </w:r>
      <w:r>
        <w:rPr>
          <w:rFonts w:hint="eastAsia" w:ascii="Times New Roman" w:hAnsi="Times New Roman" w:eastAsia="仿宋_GB2312" w:cs="Times New Roman"/>
          <w:w w:val="90"/>
          <w:sz w:val="32"/>
          <w:lang w:eastAsia="zh-CN"/>
        </w:rPr>
        <w:t>海原县2024年西河中型灌区海城镇1.7万亩现代高效节水农业建设项目(压砂地退出区产业配套)现代高效节水农业建设项目。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2.项目主要实施内容及完成情况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eastAsia="zh-CN"/>
        </w:rPr>
        <w:t>本项目建设地点位于海原县海城镇，涉及海城镇武塬村、高台村、堡子村 3 个行政村，项目区耕地总面积 1.7 万亩，且集中连片。工程的主要建设内容如下：</w:t>
      </w:r>
    </w:p>
    <w:p>
      <w:pPr>
        <w:keepNext w:val="0"/>
        <w:keepLines w:val="0"/>
        <w:pageBreakBefore w:val="0"/>
        <w:widowControl w:val="0"/>
        <w:numPr>
          <w:ilvl w:val="0"/>
          <w:numId w:val="1"/>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主要计划建设内容：</w:t>
      </w:r>
    </w:p>
    <w:p>
      <w:pPr>
        <w:keepNext w:val="0"/>
        <w:keepLines w:val="0"/>
        <w:pageBreakBefore w:val="0"/>
        <w:kinsoku/>
        <w:wordWrap/>
        <w:overflowPunct/>
        <w:topLinePunct w:val="0"/>
        <w:bidi w:val="0"/>
        <w:snapToGrid w:val="0"/>
        <w:spacing w:line="54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水源工程。水源工程。新建蓄水池1座，容积9.9万立方米，</w:t>
      </w:r>
    </w:p>
    <w:p>
      <w:pPr>
        <w:keepNext w:val="0"/>
        <w:keepLines w:val="0"/>
        <w:pageBreakBefore w:val="0"/>
        <w:widowControl w:val="0"/>
        <w:numPr>
          <w:ilvl w:val="0"/>
          <w:numId w:val="0"/>
        </w:numPr>
        <w:kinsoku/>
        <w:wordWrap/>
        <w:topLinePunct w:val="0"/>
        <w:autoSpaceDE/>
        <w:autoSpaceDN/>
        <w:bidi w:val="0"/>
        <w:adjustRightInd/>
        <w:spacing w:line="560" w:lineRule="exact"/>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铺设引水管道1.18公里，管径600mm,配套各类建筑物8座。</w:t>
      </w:r>
    </w:p>
    <w:p>
      <w:pPr>
        <w:keepNext w:val="0"/>
        <w:keepLines w:val="0"/>
        <w:pageBreakBefore w:val="0"/>
        <w:kinsoku/>
        <w:wordWrap/>
        <w:overflowPunct/>
        <w:topLinePunct w:val="0"/>
        <w:bidi w:val="0"/>
        <w:snapToGrid w:val="0"/>
        <w:spacing w:line="54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首部枢纽。新建首部加压泵站1座，自压过滤器房1座，新建电磁流量计井8座，安装潜水泵4(台)套，配套砂石+叠片过滤器8套、施肥器等设施8套，配套其他机电设备和金属结构。</w:t>
      </w:r>
    </w:p>
    <w:p>
      <w:pPr>
        <w:keepNext w:val="0"/>
        <w:keepLines w:val="0"/>
        <w:pageBreakBefore w:val="0"/>
        <w:kinsoku/>
        <w:wordWrap/>
        <w:overflowPunct/>
        <w:topLinePunct w:val="0"/>
        <w:bidi w:val="0"/>
        <w:snapToGrid w:val="0"/>
        <w:spacing w:line="54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田间管网工程。铺设地埋管道122.666公里，管径500~90毫米；铺设PE软管77.356公里，管径75毫米；铺设滴灌带7450.74公里，配套建筑物952座，包括各类阀井、穿路等。</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自动化及信息化工程。新建投入式液位计3台、室外网络球机3台、POE中继器3台；首部机组8台，建设现地控制柜5套(含PLC控制器)、压力传感器16台、电磁流量计10台、电动蝶阀13台等设备；新建控制中心1处，配套DN125电磁阀428台，DN80电磁阀266台；智能阀门控制器611台；太阳能供电系统611套，智能无线基站18台，田间气象站1座，土壤墒情1套。</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田间道路工程。新修抗疏力道路4.23公里，宽度为3.0米，厚度20厘米。</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农田输配电工程。新建10kV高压输电线路1.431公里，变压器2台。</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（2）项目目前完成情况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本项目目前已完工，验收工作正在进行中。预计本年度完成项目后续验收等工作。</w:t>
      </w:r>
    </w:p>
    <w:p>
      <w:pPr>
        <w:keepNext w:val="0"/>
        <w:keepLines w:val="0"/>
        <w:pageBreakBefore w:val="0"/>
        <w:widowControl w:val="0"/>
        <w:numPr>
          <w:ilvl w:val="0"/>
          <w:numId w:val="2"/>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项目资金投入和使用情况</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本项目</w:t>
      </w:r>
      <w:r>
        <w:rPr>
          <w:rFonts w:hint="eastAsia" w:ascii="Times New Roman" w:hAnsi="Times New Roman" w:eastAsia="仿宋_GB2312" w:cs="Times New Roman"/>
          <w:w w:val="90"/>
          <w:sz w:val="32"/>
          <w:lang w:eastAsia="zh-CN"/>
        </w:rPr>
        <w:t>概算总投资为</w:t>
      </w:r>
      <w:r>
        <w:rPr>
          <w:rFonts w:hint="eastAsia" w:ascii="Times New Roman" w:hAnsi="Times New Roman" w:eastAsia="仿宋_GB2312" w:cs="Times New Roman"/>
          <w:w w:val="90"/>
          <w:sz w:val="32"/>
          <w:lang w:val="en-US" w:eastAsia="zh-CN"/>
        </w:rPr>
        <w:t>4381.71</w:t>
      </w:r>
      <w:r>
        <w:rPr>
          <w:rFonts w:hint="eastAsia" w:ascii="Times New Roman" w:hAnsi="Times New Roman" w:eastAsia="仿宋_GB2312" w:cs="Times New Roman"/>
          <w:w w:val="90"/>
          <w:sz w:val="32"/>
          <w:lang w:eastAsia="zh-CN"/>
        </w:rPr>
        <w:t>万元。</w:t>
      </w:r>
      <w:r>
        <w:rPr>
          <w:rFonts w:hint="eastAsia" w:ascii="Times New Roman" w:hAnsi="Times New Roman" w:eastAsia="仿宋_GB2312" w:cs="Times New Roman"/>
          <w:w w:val="90"/>
          <w:sz w:val="32"/>
          <w:lang w:val="en-US" w:eastAsia="zh-CN"/>
        </w:rPr>
        <w:t>其中：中央衔接补助资金961万元，专项资金3400万元，县级配套资金20.71万元</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 xml:space="preserve"> 截至2024年8月31日实际支出3247万元，项目整体预算执行率74.1%。其中：中央衔接补助资金支出961万元，预算执行率100%;专项资金支付2286万元，预算执行率67.24%。</w:t>
      </w:r>
    </w:p>
    <w:p>
      <w:pPr>
        <w:keepNext w:val="0"/>
        <w:keepLines w:val="0"/>
        <w:pageBreakBefore w:val="0"/>
        <w:widowControl w:val="0"/>
        <w:numPr>
          <w:ilvl w:val="0"/>
          <w:numId w:val="3"/>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项目绩效目标</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eastAsia="zh-CN"/>
        </w:rPr>
        <w:t>通过项目实施，发展高效节水灌溉面积1.7万亩，提高项目区水资源利用率，提高项目区粮食产量，改善项目区农业生产生活条件，带动3643户13847人实现稳定增收，降低返贫风险。</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二、绩效评价工作开展情况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目的、对象和范围</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本次绩效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是对</w:t>
      </w:r>
      <w:r>
        <w:rPr>
          <w:rFonts w:hint="eastAsia" w:ascii="Times New Roman" w:hAnsi="Times New Roman" w:eastAsia="仿宋_GB2312" w:cs="Times New Roman"/>
          <w:w w:val="90"/>
          <w:sz w:val="32"/>
          <w:lang w:eastAsia="zh-CN"/>
        </w:rPr>
        <w:t>海原县2024年西河中型灌区海城镇1.7万亩现代高效节水农业建设项目</w:t>
      </w:r>
      <w:r>
        <w:rPr>
          <w:rFonts w:hint="eastAsia" w:ascii="Times New Roman" w:hAnsi="Times New Roman" w:eastAsia="仿宋_GB2312" w:cs="Times New Roman"/>
          <w:w w:val="90"/>
          <w:sz w:val="32"/>
        </w:rPr>
        <w:t>(压砂地退出区产业配套)现代高效节水农业建设项目进行综合绩效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，目的是通过对该项目的立项决策、项目实施与管理、项目目标完成情况的调查研究，确保绩效目标实现、提高财政资金使用效率，并规范资金使用。</w:t>
      </w:r>
    </w:p>
    <w:p>
      <w:pPr>
        <w:keepNext w:val="0"/>
        <w:keepLines w:val="0"/>
        <w:pageBreakBefore w:val="0"/>
        <w:widowControl w:val="0"/>
        <w:numPr>
          <w:ilvl w:val="0"/>
          <w:numId w:val="4"/>
        </w:numPr>
        <w:kinsoku/>
        <w:wordWrap/>
        <w:topLinePunct w:val="0"/>
        <w:autoSpaceDE/>
        <w:autoSpaceDN/>
        <w:bidi w:val="0"/>
        <w:adjustRightInd/>
        <w:spacing w:line="560" w:lineRule="exact"/>
        <w:ind w:left="0" w:leftChars="0"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原则</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1.重要性和代表性相结合的原则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优先选择最能反映项目实质和核心目标的内容作为评价的主要方向和侧重点，在选取绩效指标时，也优先使用最具代表性、最能反映评价要求的关键指标。</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2.客观资料采集和预测、评估相结合的原则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全面、客观地反映项目执行的实际情况和取得的结果，对可能达到的结果和完成目标进行可能性分析。</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3.实地跟踪和案头分析相结合的原则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ascii="Times New Roman" w:hAnsi="Times New Roman" w:eastAsia="仿宋_GB2312" w:cs="Times New Roman"/>
          <w:w w:val="90"/>
          <w:sz w:val="32"/>
        </w:rPr>
      </w:pPr>
      <w:r>
        <w:rPr>
          <w:rFonts w:hint="eastAsia" w:ascii="Times New Roman" w:hAnsi="Times New Roman" w:eastAsia="仿宋_GB2312" w:cs="Times New Roman"/>
          <w:w w:val="90"/>
          <w:sz w:val="32"/>
        </w:rPr>
        <w:t>实地采集数据，完成各项要求填报的表格，案头分析跟踪情况，对照绩效目标进行审核，形成结论和相关建议。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（三）绩效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工作过程</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ascii="Times New Roman" w:hAnsi="Times New Roman" w:eastAsia="仿宋_GB2312" w:cs="Times New Roman"/>
          <w:w w:val="90"/>
          <w:sz w:val="32"/>
        </w:rPr>
      </w:pPr>
      <w:r>
        <w:rPr>
          <w:rFonts w:hint="eastAsia" w:ascii="Times New Roman" w:hAnsi="Times New Roman" w:eastAsia="仿宋_GB2312" w:cs="Times New Roman"/>
          <w:w w:val="90"/>
          <w:sz w:val="32"/>
          <w:highlight w:val="none"/>
          <w:lang w:val="en-US" w:eastAsia="zh-CN"/>
        </w:rPr>
        <w:t>根据上级主管部门要求</w:t>
      </w:r>
      <w:r>
        <w:rPr>
          <w:rFonts w:hint="eastAsia" w:ascii="Times New Roman" w:hAnsi="Times New Roman" w:eastAsia="仿宋_GB2312" w:cs="Times New Roman"/>
          <w:w w:val="90"/>
          <w:sz w:val="32"/>
          <w:highlight w:val="none"/>
        </w:rPr>
        <w:t>，</w:t>
      </w:r>
      <w:r>
        <w:rPr>
          <w:rFonts w:hint="eastAsia" w:ascii="Times New Roman" w:hAnsi="Times New Roman" w:eastAsia="仿宋_GB2312" w:cs="Times New Roman"/>
          <w:w w:val="90"/>
          <w:sz w:val="32"/>
          <w:lang w:val="en-US" w:eastAsia="zh-CN"/>
        </w:rPr>
        <w:t>开展</w:t>
      </w:r>
      <w:r>
        <w:rPr>
          <w:rFonts w:hint="eastAsia" w:ascii="Times New Roman" w:hAnsi="Times New Roman" w:eastAsia="仿宋_GB2312" w:cs="Times New Roman"/>
          <w:w w:val="90"/>
          <w:sz w:val="32"/>
          <w:lang w:eastAsia="zh-CN"/>
        </w:rPr>
        <w:t>海原县2024年西河中型灌区海城镇1.7万亩现代高效节水农业建设项目</w:t>
      </w:r>
      <w:r>
        <w:rPr>
          <w:rFonts w:hint="eastAsia" w:ascii="Times New Roman" w:hAnsi="Times New Roman" w:eastAsia="仿宋_GB2312" w:cs="Times New Roman"/>
          <w:w w:val="90"/>
          <w:sz w:val="32"/>
        </w:rPr>
        <w:t>(压砂地退出区产业配套)现代高效节水农业建设项目综合绩效</w:t>
      </w:r>
      <w:r>
        <w:rPr>
          <w:rFonts w:hint="eastAsia" w:ascii="Times New Roman" w:hAnsi="Times New Roman" w:eastAsia="仿宋_GB2312" w:cs="Times New Roman"/>
          <w:w w:val="90"/>
          <w:sz w:val="32"/>
          <w:lang w:val="en-US" w:eastAsia="zh-CN"/>
        </w:rPr>
        <w:t>评价工作</w:t>
      </w:r>
      <w:r>
        <w:rPr>
          <w:rFonts w:hint="eastAsia" w:ascii="Times New Roman" w:hAnsi="Times New Roman" w:eastAsia="仿宋_GB2312" w:cs="Times New Roman"/>
          <w:w w:val="90"/>
          <w:sz w:val="32"/>
        </w:rPr>
        <w:t>。海原县农业综合开发服务中心</w:t>
      </w:r>
      <w:r>
        <w:rPr>
          <w:rFonts w:hint="eastAsia" w:ascii="Times New Roman" w:hAnsi="Times New Roman" w:eastAsia="仿宋_GB2312" w:cs="Times New Roman"/>
          <w:w w:val="90"/>
          <w:sz w:val="32"/>
          <w:lang w:val="en-US" w:eastAsia="zh-CN"/>
        </w:rPr>
        <w:t>成立了绩效评价工作组并组织了实施。</w:t>
      </w:r>
      <w:r>
        <w:rPr>
          <w:rFonts w:hint="eastAsia" w:ascii="Times New Roman" w:hAnsi="Times New Roman" w:eastAsia="仿宋_GB2312" w:cs="Times New Roman"/>
          <w:w w:val="90"/>
          <w:sz w:val="32"/>
        </w:rPr>
        <w:t>2024年</w:t>
      </w:r>
      <w:r>
        <w:rPr>
          <w:rFonts w:hint="eastAsia" w:ascii="Times New Roman" w:hAnsi="Times New Roman" w:eastAsia="仿宋_GB2312" w:cs="Times New Roman"/>
          <w:w w:val="90"/>
          <w:sz w:val="32"/>
          <w:lang w:val="en-US" w:eastAsia="zh-CN"/>
        </w:rPr>
        <w:t>11</w:t>
      </w:r>
      <w:r>
        <w:rPr>
          <w:rFonts w:hint="eastAsia" w:ascii="Times New Roman" w:hAnsi="Times New Roman" w:eastAsia="仿宋_GB2312" w:cs="Times New Roman"/>
          <w:w w:val="90"/>
          <w:sz w:val="32"/>
        </w:rPr>
        <w:t>月2</w:t>
      </w:r>
      <w:r>
        <w:rPr>
          <w:rFonts w:hint="eastAsia" w:ascii="Times New Roman" w:hAnsi="Times New Roman" w:eastAsia="仿宋_GB2312" w:cs="Times New Roman"/>
          <w:w w:val="90"/>
          <w:sz w:val="32"/>
          <w:lang w:val="en-US" w:eastAsia="zh-CN"/>
        </w:rPr>
        <w:t>1</w:t>
      </w:r>
      <w:r>
        <w:rPr>
          <w:rFonts w:hint="eastAsia" w:ascii="Times New Roman" w:hAnsi="Times New Roman" w:eastAsia="仿宋_GB2312" w:cs="Times New Roman"/>
          <w:w w:val="90"/>
          <w:sz w:val="32"/>
        </w:rPr>
        <w:t>日，评价组按照绩效评价的原则和规范，对采集的数据进行分析，完成</w:t>
      </w:r>
      <w:r>
        <w:rPr>
          <w:rFonts w:hint="eastAsia" w:ascii="Times New Roman" w:hAnsi="Times New Roman" w:eastAsia="仿宋_GB2312" w:cs="Times New Roman"/>
          <w:w w:val="90"/>
          <w:sz w:val="32"/>
          <w:lang w:val="en-US" w:eastAsia="zh-CN"/>
        </w:rPr>
        <w:t>绩效自评</w:t>
      </w:r>
      <w:r>
        <w:rPr>
          <w:rFonts w:hint="eastAsia" w:ascii="Times New Roman" w:hAnsi="Times New Roman" w:eastAsia="仿宋_GB2312" w:cs="Times New Roman"/>
          <w:w w:val="90"/>
          <w:sz w:val="32"/>
        </w:rPr>
        <w:t>报告的撰写。</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三、绩效评价结论</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b/>
          <w:bCs/>
          <w:w w:val="90"/>
          <w:sz w:val="32"/>
          <w:lang w:val="en-US" w:eastAsia="zh-CN"/>
        </w:rPr>
      </w:pPr>
      <w:r>
        <w:rPr>
          <w:rFonts w:hint="eastAsia" w:ascii="Times New Roman" w:hAnsi="Times New Roman" w:eastAsia="仿宋_GB2312" w:cs="Times New Roman"/>
          <w:w w:val="90"/>
          <w:sz w:val="32"/>
        </w:rPr>
        <w:t>通过该项目的积极推进，</w:t>
      </w:r>
      <w:r>
        <w:rPr>
          <w:rFonts w:hint="eastAsia" w:ascii="Times New Roman" w:hAnsi="Times New Roman" w:eastAsia="仿宋_GB2312" w:cs="Times New Roman"/>
          <w:w w:val="90"/>
          <w:sz w:val="32"/>
          <w:lang w:eastAsia="zh-CN"/>
        </w:rPr>
        <w:t>海原县2024年西河中型灌区海城镇1.7万亩现代高效节水农业建设项目(压砂地退出区产业配套)现代高效节水农业建设项目</w:t>
      </w:r>
      <w:r>
        <w:rPr>
          <w:rFonts w:hint="eastAsia" w:ascii="Times New Roman" w:hAnsi="Times New Roman" w:eastAsia="仿宋_GB2312" w:cs="Times New Roman"/>
          <w:w w:val="90"/>
          <w:sz w:val="32"/>
        </w:rPr>
        <w:t>在一定程度上改善</w:t>
      </w:r>
      <w:r>
        <w:rPr>
          <w:rFonts w:hint="eastAsia" w:ascii="Times New Roman" w:hAnsi="Times New Roman" w:eastAsia="仿宋_GB2312" w:cs="Times New Roman"/>
          <w:w w:val="90"/>
          <w:sz w:val="32"/>
          <w:lang w:val="en-US" w:eastAsia="zh-CN"/>
        </w:rPr>
        <w:t>项目区灌溉方式，提高了水资源利用率</w:t>
      </w:r>
      <w:r>
        <w:rPr>
          <w:rFonts w:hint="eastAsia" w:ascii="Times New Roman" w:hAnsi="Times New Roman" w:eastAsia="仿宋_GB2312" w:cs="Times New Roman"/>
          <w:w w:val="90"/>
          <w:sz w:val="32"/>
        </w:rPr>
        <w:t>，同时也有效推动地方经济的发展，让农村群众获得更好的幸福感</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本项目目前已完工，实施进度无</w:t>
      </w:r>
      <w:r>
        <w:rPr>
          <w:rFonts w:hint="eastAsia" w:ascii="Times New Roman" w:hAnsi="Times New Roman" w:eastAsia="仿宋_GB2312" w:cs="Times New Roman"/>
          <w:w w:val="90"/>
          <w:sz w:val="32"/>
        </w:rPr>
        <w:t>偏离。</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四、绩效目标自评完成情况分析</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（一）项目决策情况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val="en-US" w:eastAsia="zh-CN"/>
        </w:rPr>
        <w:t>2024年1月8日，海原县发展和改革局批准《关于海原县2024年西河中型灌区海城镇1.7万亩现代高效节水农业建设项目(压砂地退出区产业配套)现代高效节水农业建设项目初步设计报告的批复》（海发改发〔2024〕6号），由海原县农业农村局实施</w:t>
      </w:r>
      <w:r>
        <w:rPr>
          <w:rFonts w:hint="eastAsia" w:ascii="Times New Roman" w:hAnsi="Times New Roman" w:eastAsia="仿宋_GB2312" w:cs="Times New Roman"/>
          <w:w w:val="90"/>
          <w:sz w:val="32"/>
          <w:lang w:eastAsia="zh-CN"/>
        </w:rPr>
        <w:t>海原县2024年西河中型灌区海城镇1.7万亩现代高效节水农业建设项目(压砂地退出区产业配套)现代高效节水农业建设项目。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综上，本</w:t>
      </w:r>
      <w:r>
        <w:rPr>
          <w:rFonts w:hint="eastAsia" w:ascii="Times New Roman" w:hAnsi="Times New Roman" w:eastAsia="仿宋_GB2312" w:cs="Times New Roman"/>
          <w:w w:val="90"/>
          <w:sz w:val="32"/>
          <w:lang w:eastAsia="zh-CN"/>
        </w:rPr>
        <w:t>项目立项依据充分，符合国家、市、县各级相关规定。项目的申请、批复符合相关要求、</w:t>
      </w:r>
      <w:r>
        <w:rPr>
          <w:rFonts w:hint="eastAsia" w:ascii="Times New Roman" w:hAnsi="Times New Roman" w:eastAsia="仿宋_GB2312" w:cs="Times New Roman"/>
          <w:w w:val="90"/>
          <w:sz w:val="32"/>
          <w:lang w:val="en-US" w:eastAsia="zh-CN"/>
        </w:rPr>
        <w:t>相关</w:t>
      </w:r>
      <w:r>
        <w:rPr>
          <w:rFonts w:hint="eastAsia" w:ascii="Times New Roman" w:hAnsi="Times New Roman" w:eastAsia="仿宋_GB2312" w:cs="Times New Roman"/>
          <w:w w:val="90"/>
          <w:sz w:val="32"/>
          <w:lang w:eastAsia="zh-CN"/>
        </w:rPr>
        <w:t>文件齐全。</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（二）项目过程情况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1.资金管理</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项目单位</w:t>
      </w:r>
      <w:r>
        <w:rPr>
          <w:rFonts w:hint="eastAsia" w:ascii="Times New Roman" w:hAnsi="Times New Roman" w:eastAsia="仿宋_GB2312" w:cs="Times New Roman"/>
          <w:w w:val="90"/>
          <w:sz w:val="32"/>
        </w:rPr>
        <w:t>对</w:t>
      </w:r>
      <w:r>
        <w:rPr>
          <w:rFonts w:hint="eastAsia" w:ascii="Times New Roman" w:hAnsi="Times New Roman" w:eastAsia="仿宋_GB2312" w:cs="Times New Roman"/>
          <w:w w:val="90"/>
          <w:sz w:val="32"/>
          <w:lang w:val="en-US" w:eastAsia="zh-CN"/>
        </w:rPr>
        <w:t>本</w:t>
      </w:r>
      <w:r>
        <w:rPr>
          <w:rFonts w:hint="eastAsia" w:ascii="Times New Roman" w:hAnsi="Times New Roman" w:eastAsia="仿宋_GB2312" w:cs="Times New Roman"/>
          <w:w w:val="90"/>
          <w:sz w:val="32"/>
        </w:rPr>
        <w:t>项目资金独立核算、专款专用，项目资金使用符合财政制度规定，资金使用符合项目预算批复规定的用途。预算资金拨付有完整的审批程序和手续，且没有发现项目单位在资金使用过程中存在虚列、截留、挤占、挪用资金等情况。财务监控方面，</w:t>
      </w:r>
      <w:r>
        <w:rPr>
          <w:rFonts w:hint="eastAsia" w:ascii="Times New Roman" w:hAnsi="Times New Roman" w:eastAsia="仿宋_GB2312" w:cs="Times New Roman"/>
          <w:w w:val="90"/>
          <w:sz w:val="32"/>
          <w:lang w:val="en-US" w:eastAsia="zh-CN"/>
        </w:rPr>
        <w:t>项目</w:t>
      </w:r>
      <w:r>
        <w:rPr>
          <w:rFonts w:hint="eastAsia" w:ascii="Times New Roman" w:hAnsi="Times New Roman" w:eastAsia="仿宋_GB2312" w:cs="Times New Roman"/>
          <w:w w:val="90"/>
          <w:sz w:val="32"/>
        </w:rPr>
        <w:t>费用支出时由施工单位提出付款进度申请，经监理单位审核后提交海原县农业农村局，经项目经办人、负责人、财务审核后支付。这些措施都对</w:t>
      </w:r>
      <w:r>
        <w:rPr>
          <w:rFonts w:hint="eastAsia" w:ascii="Times New Roman" w:hAnsi="Times New Roman" w:eastAsia="仿宋_GB2312" w:cs="Times New Roman"/>
          <w:w w:val="90"/>
          <w:sz w:val="32"/>
          <w:lang w:val="en-US" w:eastAsia="zh-CN"/>
        </w:rPr>
        <w:t>项目</w:t>
      </w:r>
      <w:r>
        <w:rPr>
          <w:rFonts w:hint="eastAsia" w:ascii="Times New Roman" w:hAnsi="Times New Roman" w:eastAsia="仿宋_GB2312" w:cs="Times New Roman"/>
          <w:w w:val="90"/>
          <w:sz w:val="32"/>
        </w:rPr>
        <w:t>建设资金的使用起到了一定的监控作用。</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2.</w:t>
      </w:r>
      <w:r>
        <w:rPr>
          <w:rFonts w:hint="eastAsia" w:ascii="Times New Roman" w:hAnsi="Times New Roman" w:eastAsia="仿宋_GB2312" w:cs="Times New Roman"/>
          <w:w w:val="90"/>
          <w:sz w:val="32"/>
        </w:rPr>
        <w:t>项目管理情况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1）项目管理制度健全性。海原县农业农村局已制定相应的业务管理制度，同时实施方案中也进一步明确了组织管理、项目移交与管护运行等项目管理要求。项目管理制度较为完善、具备可操作性。</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2）制度执行有效性。项目法人为本工程建设的责任主体，对项目建设的全过程负责，对项目的质量、安全、进度和资金管理负总责。按前期工作、施工准备、建设实施、竣工验收或投入使用四个阶段，详细划分各阶段职责；加强对工程设计、施工、监理、检测等参建单位监督管理。工程建设期内，严格执行国家基本建设程序，实行“项目法人</w:t>
      </w:r>
      <w:r>
        <w:rPr>
          <w:rFonts w:hint="eastAsia" w:ascii="Times New Roman" w:hAnsi="Times New Roman" w:eastAsia="仿宋_GB2312" w:cs="Times New Roman"/>
          <w:w w:val="90"/>
          <w:sz w:val="32"/>
          <w:lang w:eastAsia="zh-CN"/>
        </w:rPr>
        <w:t>责任</w:t>
      </w:r>
      <w:r>
        <w:rPr>
          <w:rFonts w:hint="eastAsia" w:ascii="Times New Roman" w:hAnsi="Times New Roman" w:eastAsia="仿宋_GB2312" w:cs="Times New Roman"/>
          <w:w w:val="90"/>
          <w:sz w:val="32"/>
        </w:rPr>
        <w:t>制、招投（邀、议）标制、合同管理制、工程监理制、公示制、县级报账制”的六制管理。对项目相关计划批复、合同、招标档案、验收等资料进行了及时归档。</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综上，项目单位具备完备的财务管理制度，对于资金使用采取了必要的监控、管理措施，资金使用较为规范</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rPr>
        <w:t>项目政府采购程序以及合同审批流程均符合相关政策法规规定。</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三</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rPr>
        <w:t>项目产出情况</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576" w:firstLineChars="200"/>
        <w:jc w:val="both"/>
        <w:textAlignment w:val="auto"/>
        <w:outlineLvl w:val="2"/>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本项目主体工程</w:t>
      </w:r>
      <w:r>
        <w:rPr>
          <w:rFonts w:hint="eastAsia" w:ascii="Times New Roman" w:hAnsi="Times New Roman" w:eastAsia="仿宋_GB2312" w:cs="Times New Roman"/>
          <w:w w:val="90"/>
          <w:sz w:val="32"/>
          <w:lang w:eastAsia="zh-CN"/>
        </w:rPr>
        <w:t>主要包含灌溉与排水工程、田间道路工程、农田输配电工程、自动化及信息化工程</w:t>
      </w:r>
      <w:r>
        <w:rPr>
          <w:rFonts w:hint="eastAsia" w:ascii="Times New Roman" w:hAnsi="Times New Roman" w:eastAsia="仿宋_GB2312" w:cs="Times New Roman"/>
          <w:w w:val="90"/>
          <w:kern w:val="2"/>
          <w:sz w:val="32"/>
          <w:szCs w:val="24"/>
          <w:lang w:val="en-US" w:eastAsia="zh-CN" w:bidi="ar-SA"/>
        </w:rPr>
        <w:t>的施工。项目开工时间2024年2月6日，完工时间2024年10月30日。截至目前项目进度正常，能够按批复要求按时完工。</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576" w:firstLineChars="200"/>
        <w:jc w:val="both"/>
        <w:textAlignment w:val="auto"/>
        <w:outlineLvl w:val="2"/>
        <w:rPr>
          <w:rFonts w:hint="default" w:ascii="Times New Roman" w:hAnsi="Times New Roman" w:eastAsia="仿宋_GB2312" w:cs="Times New Roman"/>
          <w:w w:val="90"/>
          <w:kern w:val="2"/>
          <w:sz w:val="32"/>
          <w:szCs w:val="24"/>
          <w:lang w:val="en-US" w:eastAsia="zh-CN" w:bidi="ar-SA"/>
        </w:rPr>
      </w:pPr>
      <w:r>
        <w:rPr>
          <w:rFonts w:hint="default" w:ascii="Times New Roman" w:hAnsi="Times New Roman" w:eastAsia="仿宋_GB2312" w:cs="Times New Roman"/>
          <w:w w:val="90"/>
          <w:kern w:val="2"/>
          <w:sz w:val="32"/>
          <w:szCs w:val="24"/>
          <w:lang w:val="en-US" w:eastAsia="zh-CN" w:bidi="ar-SA"/>
        </w:rPr>
        <w:t>综上，</w:t>
      </w:r>
      <w:r>
        <w:rPr>
          <w:rFonts w:hint="eastAsia" w:ascii="Times New Roman" w:hAnsi="Times New Roman" w:eastAsia="仿宋_GB2312" w:cs="Times New Roman"/>
          <w:w w:val="90"/>
          <w:kern w:val="2"/>
          <w:sz w:val="32"/>
          <w:szCs w:val="24"/>
          <w:lang w:val="en-US" w:eastAsia="zh-CN" w:bidi="ar-SA"/>
        </w:rPr>
        <w:t>本项目投资完成率较高，项目支出能够控制在预算批复范围内，能按批复要求按时完工，主要建设内容计划完成率较高。项目整体实施效率较好。</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（四）项目效益情况</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1.社会效益</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海城镇耕地现代化生态建设，保障灌区管理日趋高效，成为宁夏灌区水资源优化配置和合理利用的典范。通过现代化建设，实行运行数据的及时获取，安全保证率得到极大的提升，实现输水设施的实施监控，建立高效的管理模式，最大的发挥了灌溉效益。同时，可以保障灌</w:t>
      </w:r>
    </w:p>
    <w:p>
      <w:pPr>
        <w:keepNext w:val="0"/>
        <w:keepLines w:val="0"/>
        <w:pageBreakBefore w:val="0"/>
        <w:widowControl w:val="0"/>
        <w:kinsoku/>
        <w:wordWrap/>
        <w:topLinePunct w:val="0"/>
        <w:autoSpaceDE/>
        <w:autoSpaceDN/>
        <w:bidi w:val="0"/>
        <w:adjustRightInd/>
        <w:spacing w:line="560" w:lineRule="exact"/>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区始终走在可持续高速发展的大路上，向节水型、科技型、生态型、服务型四型灌区阔步前行。</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灌区现代化建设，有效的破解了灌区的历史性的管理难题，有效化解了检测实施不全、调度水平不高、管理手段落后等诸多问题，极大的提高了管理数据的全面性、准确性和适应性，极大的提高了管理水平和效率，有效的降低了管理成本，工程建管将从此有了科学的支撑和保障，推动灌区管理和决策从此向纵深、精细和高水平方向发展，不断迈向高效能节水型灌区、现代化科技型灌区、规范化生态型灌区、供水链服务型灌区。</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灌区现代化建设，一方面提高灌区农业生产能力，保障粮食安全和增加农民收入；另一方面缓解项目区水资源供需矛盾，提高了项目区农业生产能力，为农作物的生长创造了更多的有利条件，为农民增收打下基础，农民的收入将得到进一步的提高。同时，优化了地区资源配置，可有效的调整产业结构，推动区域经济向二三产业的延伸和发展，促进经济与社会的可持续和跨越式发展，推动项目区新农村建设的步伐。</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2.经济效益</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576" w:firstLineChars="200"/>
        <w:jc w:val="both"/>
        <w:textAlignment w:val="auto"/>
        <w:outlineLvl w:val="9"/>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项目区耕地总面积 1.7 万亩，现状种植作物主要以马铃薯为主，配套实施本项目后，可有效改善灌溉条件及生态环境条件，健全农田水利基础设施，提高灌溉水的利用系数，节约农民的水费支出，增加农户经济收入。</w:t>
      </w:r>
    </w:p>
    <w:p>
      <w:pPr>
        <w:keepNext w:val="0"/>
        <w:keepLines w:val="0"/>
        <w:pageBreakBefore w:val="0"/>
        <w:widowControl w:val="0"/>
        <w:numPr>
          <w:ilvl w:val="0"/>
          <w:numId w:val="5"/>
        </w:numPr>
        <w:kinsoku/>
        <w:wordWrap/>
        <w:overflowPunct w:val="0"/>
        <w:topLinePunct w:val="0"/>
        <w:autoSpaceDE/>
        <w:autoSpaceDN/>
        <w:bidi w:val="0"/>
        <w:adjustRightInd/>
        <w:snapToGrid/>
        <w:spacing w:after="0" w:line="560" w:lineRule="exact"/>
        <w:ind w:left="0" w:leftChars="0" w:firstLine="576" w:firstLineChars="200"/>
        <w:jc w:val="both"/>
        <w:textAlignment w:val="auto"/>
        <w:outlineLvl w:val="9"/>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环境效益</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节水灌溉改善生态环境，少量的灌溉就意味着少量的排水，高效节水灌溉由于是用较少的灌溉水，因此减少了灌溉水对农田化肥、农药的淋洗，减轻了农药面源。节约的灌溉用水可用于增加有效灌溉面积，生态效益显著。</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通过本工程建设，可以调控地下水位，改良盐碱渍害耕地，改善局部区域特别是近地层的局地小气候，为区域范围内林草植被生长创造有利条件。</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通过生态工程建设，提升生态环境质量。工程通过绿化和水土保持治理，可以涵养水源、稳固土壤、净化空气、降温増湿、降低噪音，净化大气污染物等作用，同时最重要的是可以防止水土流失， 大大提升生态环境质量。</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五、主要经验及做法</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1.高度重视前期准备，做好宣传动员工作。海原县委、县政府十分重视高标准农田建设项目的实施，将其作为“乡村振兴战略”和发展现代农业的重要抓手，并成立专门工作领导小组，全面负责工程建设，重点部署，认真组织，加强检查监督，足额落实配套资金，确保项目如期完成任务。压实项目乡镇工作职责，要求项目乡镇在项目实施前积极做好征地拆迁、迁坟、农沟清淤等前期工作。同时，积极动员项目区的乡、镇、村干部和广大农民群众，宣传高标准农田项目，使基层群众能够支持并参与到项目建设中来，为项目的顺利实施打下了稳固的基础。</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2.高起点规划，高标准开发。坚持规划先行，科学制定高标准农田建设项目中长期规划和年度计划。采取“集中力量，重点投入，连片开发”的方式，坚持按区域农业发展需要，结合项目区地形地貌、水系、村庄等内外部条件，按照“打破界线、整合资金、统一规划、高位推进”的原则，以改善农业基础设施条件、建立长效机制为重点，打破乡与乡，村与村的界线，整村整队进行大规模平田整地，将过去条田不规整，配套不完善，农田高洼不平等状况，进行统一规划建设，保证了项目区的整体性，凸显了项目高起点规划、高标准开发。</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3.严格项目管理，坚持执行四制。在项目和资金管理上，严格执行县级报账制和专款专用、专人管理、专账核算，以及项目工程管理招投标制、监理制、法人负责制和公示制，农业农村局实行领导包片、专业技术人员包项目区制度，及时协调好项目参与各方之间的关系，以及施工单位与乡镇村之间的关系，工程进展顺利。监理单位做好质量控制工作，对混凝土板、砂石料、管材等主要材料进行进场质量把控，从源头上控制材料质量，充分发挥监理的质量监督作用，部分项目尝试开展聘请第三方开展质量检测，进行施工过程中全程质量把控，确保工程质量，工程质量合格，未发生质量事故。在项目建设中严格按照工程建设标准施工，成规模、上档次、达标准，做到建设一片，见效一片，严禁走过场，切实调动和保护好农民群众大搞项目建设的积极性。</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六、偏离绩效目标的原因和下一步改进措施</w:t>
      </w:r>
    </w:p>
    <w:p>
      <w:pPr>
        <w:pStyle w:val="3"/>
        <w:keepNext w:val="0"/>
        <w:keepLines w:val="0"/>
        <w:pageBreakBefore w:val="0"/>
        <w:widowControl w:val="0"/>
        <w:kinsoku/>
        <w:wordWrap/>
        <w:topLinePunct w:val="0"/>
        <w:autoSpaceDE/>
        <w:autoSpaceDN/>
        <w:bidi w:val="0"/>
        <w:adjustRightInd/>
        <w:spacing w:line="560" w:lineRule="exact"/>
        <w:ind w:left="0" w:leftChars="0"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由于项目竣工验收工作进度滞后，导致预算执行率较低。再接下来的工作中加项目完工后续工作，及时支付项目资金，提高项目资金的预算执行率，保证财政资金及时发挥效益。</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七、其他需要说明的问题</w:t>
      </w:r>
    </w:p>
    <w:p>
      <w:pPr>
        <w:pStyle w:val="3"/>
        <w:keepNext w:val="0"/>
        <w:keepLines w:val="0"/>
        <w:pageBreakBefore w:val="0"/>
        <w:widowControl w:val="0"/>
        <w:kinsoku/>
        <w:wordWrap/>
        <w:topLinePunct w:val="0"/>
        <w:autoSpaceDE/>
        <w:autoSpaceDN/>
        <w:bidi w:val="0"/>
        <w:adjustRightInd/>
        <w:spacing w:line="560" w:lineRule="exact"/>
        <w:ind w:left="0" w:leftChars="0"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无</w:t>
      </w:r>
    </w:p>
    <w:p>
      <w:pPr>
        <w:pStyle w:val="3"/>
        <w:keepNext w:val="0"/>
        <w:keepLines w:val="0"/>
        <w:pageBreakBefore w:val="0"/>
        <w:widowControl w:val="0"/>
        <w:kinsoku/>
        <w:wordWrap/>
        <w:topLinePunct w:val="0"/>
        <w:autoSpaceDE/>
        <w:autoSpaceDN/>
        <w:bidi w:val="0"/>
        <w:adjustRightInd/>
        <w:spacing w:line="560" w:lineRule="exact"/>
        <w:ind w:left="0" w:leftChars="0" w:firstLine="579" w:firstLineChars="200"/>
        <w:textAlignment w:val="auto"/>
        <w:rPr>
          <w:rFonts w:hint="eastAsia" w:ascii="Times New Roman" w:hAnsi="Times New Roman" w:eastAsia="仿宋_GB2312" w:cs="Times New Roman"/>
          <w:b/>
          <w:bCs/>
          <w:w w:val="90"/>
          <w:sz w:val="32"/>
          <w:lang w:val="en-US" w:eastAsia="zh-CN"/>
        </w:rPr>
      </w:pPr>
    </w:p>
    <w:p>
      <w:pPr>
        <w:pStyle w:val="3"/>
        <w:keepNext w:val="0"/>
        <w:keepLines w:val="0"/>
        <w:pageBreakBefore w:val="0"/>
        <w:widowControl w:val="0"/>
        <w:kinsoku/>
        <w:wordWrap/>
        <w:topLinePunct w:val="0"/>
        <w:autoSpaceDE/>
        <w:autoSpaceDN/>
        <w:bidi w:val="0"/>
        <w:adjustRightInd/>
        <w:spacing w:line="560" w:lineRule="exact"/>
        <w:ind w:left="0" w:leftChars="0" w:firstLine="579" w:firstLineChars="200"/>
        <w:textAlignment w:val="auto"/>
        <w:rPr>
          <w:rFonts w:hint="eastAsia" w:ascii="Times New Roman" w:hAnsi="Times New Roman" w:eastAsia="仿宋_GB2312" w:cs="Times New Roman"/>
          <w:b/>
          <w:bCs/>
          <w:w w:val="90"/>
          <w:sz w:val="32"/>
          <w:lang w:val="en-US" w:eastAsia="zh-CN"/>
        </w:rPr>
      </w:pPr>
      <w:r>
        <w:rPr>
          <w:rFonts w:hint="eastAsia" w:ascii="Times New Roman" w:hAnsi="Times New Roman" w:eastAsia="仿宋_GB2312" w:cs="Times New Roman"/>
          <w:b/>
          <w:bCs/>
          <w:w w:val="90"/>
          <w:sz w:val="32"/>
          <w:lang w:val="en-US" w:eastAsia="zh-CN"/>
        </w:rPr>
        <w:t xml:space="preserve">附件：绩效目标自评表 </w:t>
      </w: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Times New Roman" w:hAnsi="Times New Roman" w:eastAsia="仿宋_GB2312" w:cs="Times New Roman"/>
          <w:w w:val="90"/>
          <w:sz w:val="32"/>
          <w:lang w:val="en-US" w:eastAsia="zh-CN"/>
        </w:rPr>
      </w:pPr>
      <w:r>
        <w:rPr>
          <w:rFonts w:hint="eastAsia" w:ascii="楷体_GB2312" w:hAnsi="华文中宋" w:eastAsia="楷体_GB2312" w:cs="Times New Roman"/>
          <w:w w:val="90"/>
          <w:kern w:val="2"/>
          <w:sz w:val="32"/>
          <w:szCs w:val="32"/>
          <w:lang w:val="en-US" w:eastAsia="zh-CN" w:bidi="ar-SA"/>
        </w:rPr>
        <w:t xml:space="preserve">                          </w:t>
      </w:r>
      <w:r>
        <w:rPr>
          <w:rFonts w:hint="eastAsia" w:ascii="Times New Roman" w:hAnsi="Times New Roman" w:eastAsia="仿宋_GB2312" w:cs="Times New Roman"/>
          <w:w w:val="90"/>
          <w:sz w:val="32"/>
          <w:lang w:val="en-US" w:eastAsia="zh-CN"/>
        </w:rPr>
        <w:t>海原县农业农村局</w:t>
      </w:r>
    </w:p>
    <w:p>
      <w:pPr>
        <w:jc w:val="center"/>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 xml:space="preserve">                           2024年11月21日</w:t>
      </w: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both"/>
        <w:rPr>
          <w:rFonts w:hint="eastAsia" w:ascii="楷体_GB2312" w:hAnsi="华文中宋" w:eastAsia="楷体_GB2312" w:cs="Times New Roman"/>
          <w:w w:val="90"/>
          <w:kern w:val="2"/>
          <w:sz w:val="32"/>
          <w:szCs w:val="32"/>
          <w:lang w:val="en-US" w:eastAsia="zh-CN" w:bidi="ar-SA"/>
        </w:rPr>
      </w:pPr>
    </w:p>
    <w:p>
      <w:pPr>
        <w:spacing w:before="154" w:line="220" w:lineRule="auto"/>
        <w:ind w:left="3839"/>
        <w:rPr>
          <w:rFonts w:ascii="宋体" w:hAnsi="宋体" w:eastAsia="宋体" w:cs="宋体"/>
          <w:b/>
          <w:bCs/>
          <w:spacing w:val="8"/>
          <w:sz w:val="31"/>
          <w:szCs w:val="31"/>
        </w:rPr>
      </w:pPr>
    </w:p>
    <w:p>
      <w:pPr>
        <w:spacing w:before="154" w:line="220" w:lineRule="auto"/>
        <w:ind w:left="3839"/>
        <w:rPr>
          <w:rFonts w:ascii="宋体" w:hAnsi="宋体" w:eastAsia="宋体" w:cs="宋体"/>
          <w:b/>
          <w:bCs/>
          <w:spacing w:val="8"/>
          <w:sz w:val="31"/>
          <w:szCs w:val="31"/>
        </w:rPr>
      </w:pPr>
    </w:p>
    <w:p>
      <w:pPr>
        <w:spacing w:before="154" w:line="220" w:lineRule="auto"/>
        <w:ind w:left="3839"/>
        <w:rPr>
          <w:rFonts w:ascii="宋体" w:hAnsi="宋体" w:eastAsia="宋体" w:cs="宋体"/>
          <w:sz w:val="31"/>
          <w:szCs w:val="31"/>
        </w:rPr>
      </w:pPr>
      <w:r>
        <w:rPr>
          <w:rFonts w:ascii="宋体" w:hAnsi="宋体" w:eastAsia="宋体" w:cs="宋体"/>
          <w:b/>
          <w:bCs/>
          <w:spacing w:val="8"/>
          <w:sz w:val="31"/>
          <w:szCs w:val="31"/>
        </w:rPr>
        <w:t>绩效目标自评表</w:t>
      </w:r>
    </w:p>
    <w:p>
      <w:pPr>
        <w:spacing w:before="90" w:line="219" w:lineRule="auto"/>
        <w:ind w:left="4404"/>
        <w:rPr>
          <w:rFonts w:ascii="宋体" w:hAnsi="宋体" w:eastAsia="宋体" w:cs="宋体"/>
          <w:sz w:val="22"/>
          <w:szCs w:val="22"/>
        </w:rPr>
      </w:pPr>
      <w:r>
        <w:rPr>
          <w:rFonts w:ascii="宋体" w:hAnsi="宋体" w:eastAsia="宋体" w:cs="宋体"/>
          <w:spacing w:val="4"/>
          <w:sz w:val="22"/>
          <w:szCs w:val="22"/>
        </w:rPr>
        <w:t>(20</w:t>
      </w:r>
      <w:r>
        <w:rPr>
          <w:rFonts w:hint="eastAsia" w:ascii="宋体" w:hAnsi="宋体" w:eastAsia="宋体" w:cs="宋体"/>
          <w:sz w:val="22"/>
          <w:szCs w:val="22"/>
          <w:lang w:val="en-US" w:eastAsia="zh-CN"/>
        </w:rPr>
        <w:t>24</w:t>
      </w:r>
      <w:r>
        <w:rPr>
          <w:rFonts w:ascii="宋体" w:hAnsi="宋体" w:eastAsia="宋体" w:cs="宋体"/>
          <w:spacing w:val="4"/>
          <w:sz w:val="22"/>
          <w:szCs w:val="22"/>
        </w:rPr>
        <w:t>年度)</w:t>
      </w:r>
    </w:p>
    <w:tbl>
      <w:tblPr>
        <w:tblStyle w:val="7"/>
        <w:tblW w:w="9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675"/>
        <w:gridCol w:w="919"/>
        <w:gridCol w:w="1445"/>
        <w:gridCol w:w="711"/>
        <w:gridCol w:w="1165"/>
        <w:gridCol w:w="986"/>
        <w:gridCol w:w="330"/>
        <w:gridCol w:w="656"/>
        <w:gridCol w:w="660"/>
        <w:gridCol w:w="271"/>
        <w:gridCol w:w="576"/>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海原县2024年西河中型灌区海城镇农业产业（玉米）种植基地项目建设项目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 及电话</w:t>
            </w:r>
          </w:p>
        </w:tc>
        <w:tc>
          <w:tcPr>
            <w:tcW w:w="42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蒲彦珍、</w:t>
            </w:r>
            <w:r>
              <w:rPr>
                <w:rFonts w:hint="eastAsia" w:ascii="Arial" w:hAnsi="Arial" w:eastAsia="宋体" w:cs="Arial"/>
                <w:i w:val="0"/>
                <w:iCs w:val="0"/>
                <w:color w:val="000000"/>
                <w:kern w:val="0"/>
                <w:sz w:val="21"/>
                <w:szCs w:val="21"/>
                <w:u w:val="none"/>
                <w:lang w:val="en-US" w:eastAsia="zh-CN" w:bidi="ar"/>
              </w:rPr>
              <w:t>15769658966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自治区农业农村厅</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海原县农业农村局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资金情况(万元)</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9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 (B/A)</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2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4361</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3247</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其中：中央衔接资补助金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961</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961</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自治区衔接补助资金　　</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县配套资金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专项资金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3400</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2286</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r>
              <w:rPr>
                <w:rStyle w:val="15"/>
                <w:rFonts w:hint="eastAsia" w:ascii="仿宋" w:hAnsi="仿宋" w:eastAsia="仿宋" w:cs="仿宋"/>
                <w:lang w:val="en-US" w:eastAsia="zh-CN" w:bidi="ar"/>
              </w:rPr>
              <w:t xml:space="preserve"> 总体 目标</w:t>
            </w: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年初设定目标</w:t>
            </w:r>
          </w:p>
        </w:tc>
        <w:tc>
          <w:tcPr>
            <w:tcW w:w="5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both"/>
              <w:rPr>
                <w:rFonts w:hint="eastAsia" w:ascii="仿宋" w:hAnsi="仿宋" w:eastAsia="仿宋" w:cs="仿宋"/>
                <w:i w:val="0"/>
                <w:iCs w:val="0"/>
                <w:color w:val="000000"/>
                <w:sz w:val="20"/>
                <w:szCs w:val="20"/>
                <w:u w:val="none"/>
              </w:rPr>
            </w:pP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发展高效节水灌溉面积1.7万亩，提高项目区水资源利用率，提高项目区粮食产量，改善项目区农业生产生活条件，带动3643户13847人实现稳定增收，降低返贫风险。</w:t>
            </w:r>
          </w:p>
        </w:tc>
        <w:tc>
          <w:tcPr>
            <w:tcW w:w="5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通过项目实施，按时完成高效节水灌溉面积1.7万亩，提高项目区水资源利用率，提高项目区粮食产量，改善项目区农业生产生活条件，带动3643户13847人实现稳定增收，降低返贫风险。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全年实际</w:t>
            </w:r>
            <w:r>
              <w:rPr>
                <w:rStyle w:val="15"/>
                <w:rFonts w:hint="eastAsia" w:ascii="仿宋" w:hAnsi="仿宋" w:eastAsia="仿宋" w:cs="仿宋"/>
                <w:lang w:val="en-US" w:eastAsia="zh-CN" w:bidi="ar"/>
              </w:rPr>
              <w:t xml:space="preserve"> 值</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未完成原因及拟</w:t>
            </w:r>
            <w:r>
              <w:rPr>
                <w:rStyle w:val="15"/>
                <w:rFonts w:hint="eastAsia" w:ascii="仿宋" w:hAnsi="仿宋" w:eastAsia="仿宋" w:cs="仿宋"/>
                <w:lang w:val="en-US" w:eastAsia="zh-CN" w:bidi="ar"/>
              </w:rPr>
              <w:t xml:space="preserve"> 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产出指标（50分）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建设高效节水灌溉面积（万亩）</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购置信息化系统（套）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田间节水管道（滴灌带）铺设长度（公里）</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≥122.666（7450.74）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≥122.666（7450.74）</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节灌设施配套构筑物数量（座）</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952</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952</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首部枢纽工程配套设施设备数量（首部厂房/过滤器/施肥设备/变压器)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2/8/8/2</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2/8/8/2</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项目工程总体验收合格率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节灌及信息化设备运行保障率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98%</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98%</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项目资金使用合规性</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合规</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合规</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项目任务完成时限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截至2024年11月份</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截至2024年11月份</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组织验收时限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截至2024年12月份</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正在进行</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已完工未验收，下一步加快验收后续工作，尽快完成。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项目资金拨付到位及时率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项目工程建设投资总额（万元）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≦4381.71</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≦4381.71</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效益指标（30分）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  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项目区粮食综合生产能力提升率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受益村民户数</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≥3643</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≥3643</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对项目区村民增产增收保障作用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有效发挥</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有效发挥</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对周边农户的示范带动作用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明显增强</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明显增强</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区域粮食生产和安全保障能力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有效加强</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有效加强</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水资源利用率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明显提高</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明显提高</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工程设备有效使用年限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≧15年</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≧15年</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项目运行维护机制</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建立完善</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建立完善</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满意度（10分）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受益村民满意度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受益农业经营主体满意度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3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6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93.45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bl>
    <w:p>
      <w:pPr>
        <w:pStyle w:val="3"/>
        <w:ind w:left="0" w:leftChars="0" w:firstLine="0" w:firstLineChars="0"/>
        <w:rPr>
          <w:rFonts w:hint="eastAsia" w:ascii="Times New Roman" w:hAnsi="Times New Roman" w:eastAsia="仿宋_GB2312" w:cs="Times New Roman"/>
          <w:b/>
          <w:bCs/>
          <w:w w:val="90"/>
          <w:sz w:val="32"/>
          <w:lang w:val="en-US" w:eastAsia="zh-CN"/>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eastAsia" w:ascii="Times New Roman" w:hAnsi="Times New Roman" w:eastAsia="仿宋_GB2312" w:cs="Times New Roman"/>
          <w:b/>
          <w:bCs/>
          <w:w w:val="90"/>
          <w:sz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30304000000000000"/>
    <w:charset w:val="7A"/>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AD7D2"/>
    <w:multiLevelType w:val="singleLevel"/>
    <w:tmpl w:val="A66AD7D2"/>
    <w:lvl w:ilvl="0" w:tentative="0">
      <w:start w:val="3"/>
      <w:numFmt w:val="decimal"/>
      <w:lvlText w:val="%1."/>
      <w:lvlJc w:val="left"/>
      <w:pPr>
        <w:tabs>
          <w:tab w:val="left" w:pos="312"/>
        </w:tabs>
      </w:pPr>
    </w:lvl>
  </w:abstractNum>
  <w:abstractNum w:abstractNumId="1">
    <w:nsid w:val="D5052083"/>
    <w:multiLevelType w:val="singleLevel"/>
    <w:tmpl w:val="D5052083"/>
    <w:lvl w:ilvl="0" w:tentative="0">
      <w:start w:val="1"/>
      <w:numFmt w:val="decimal"/>
      <w:suff w:val="nothing"/>
      <w:lvlText w:val="（%1）"/>
      <w:lvlJc w:val="left"/>
    </w:lvl>
  </w:abstractNum>
  <w:abstractNum w:abstractNumId="2">
    <w:nsid w:val="EDAAB44D"/>
    <w:multiLevelType w:val="singleLevel"/>
    <w:tmpl w:val="EDAAB44D"/>
    <w:lvl w:ilvl="0" w:tentative="0">
      <w:start w:val="2"/>
      <w:numFmt w:val="chineseCounting"/>
      <w:suff w:val="nothing"/>
      <w:lvlText w:val="（%1）"/>
      <w:lvlJc w:val="left"/>
      <w:rPr>
        <w:rFonts w:hint="eastAsia"/>
      </w:rPr>
    </w:lvl>
  </w:abstractNum>
  <w:abstractNum w:abstractNumId="3">
    <w:nsid w:val="F4DABD30"/>
    <w:multiLevelType w:val="singleLevel"/>
    <w:tmpl w:val="F4DABD30"/>
    <w:lvl w:ilvl="0" w:tentative="0">
      <w:start w:val="3"/>
      <w:numFmt w:val="decimal"/>
      <w:lvlText w:val="%1."/>
      <w:lvlJc w:val="left"/>
      <w:pPr>
        <w:tabs>
          <w:tab w:val="left" w:pos="312"/>
        </w:tabs>
      </w:pPr>
    </w:lvl>
  </w:abstractNum>
  <w:abstractNum w:abstractNumId="4">
    <w:nsid w:val="6AA241B6"/>
    <w:multiLevelType w:val="singleLevel"/>
    <w:tmpl w:val="6AA241B6"/>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I3YTk4YTBmZjU1ZTI3YWQ5MTRjNDc0NzBlZmYifQ=="/>
  </w:docVars>
  <w:rsids>
    <w:rsidRoot w:val="00000000"/>
    <w:rsid w:val="0168325F"/>
    <w:rsid w:val="02681811"/>
    <w:rsid w:val="042A047A"/>
    <w:rsid w:val="0DEA75CE"/>
    <w:rsid w:val="0EE303C9"/>
    <w:rsid w:val="116A5D80"/>
    <w:rsid w:val="12FAE7E0"/>
    <w:rsid w:val="13FF38CA"/>
    <w:rsid w:val="145A5AEE"/>
    <w:rsid w:val="17BD9025"/>
    <w:rsid w:val="19AD2821"/>
    <w:rsid w:val="1A642D06"/>
    <w:rsid w:val="1B3E5305"/>
    <w:rsid w:val="1FEB3581"/>
    <w:rsid w:val="209B6D55"/>
    <w:rsid w:val="2265761B"/>
    <w:rsid w:val="250968E6"/>
    <w:rsid w:val="265F509E"/>
    <w:rsid w:val="26E20E7E"/>
    <w:rsid w:val="28891322"/>
    <w:rsid w:val="2E00644A"/>
    <w:rsid w:val="2FA502E1"/>
    <w:rsid w:val="2FFB9CB3"/>
    <w:rsid w:val="30A532D8"/>
    <w:rsid w:val="317E9E1B"/>
    <w:rsid w:val="32762B96"/>
    <w:rsid w:val="32843DF1"/>
    <w:rsid w:val="33DE547F"/>
    <w:rsid w:val="37FEA134"/>
    <w:rsid w:val="3AC646B9"/>
    <w:rsid w:val="3ADC7F70"/>
    <w:rsid w:val="3CE654F0"/>
    <w:rsid w:val="3D784006"/>
    <w:rsid w:val="3E23118B"/>
    <w:rsid w:val="3FD10454"/>
    <w:rsid w:val="3FFEB4C5"/>
    <w:rsid w:val="42AC04F6"/>
    <w:rsid w:val="482258CF"/>
    <w:rsid w:val="48AC5733"/>
    <w:rsid w:val="4A951382"/>
    <w:rsid w:val="4B9583C9"/>
    <w:rsid w:val="4CAA58A6"/>
    <w:rsid w:val="4EAC2FE7"/>
    <w:rsid w:val="4F0B290B"/>
    <w:rsid w:val="4FCB5B34"/>
    <w:rsid w:val="4FE65048"/>
    <w:rsid w:val="564F2FD3"/>
    <w:rsid w:val="57835872"/>
    <w:rsid w:val="588F1058"/>
    <w:rsid w:val="5AF7F0BC"/>
    <w:rsid w:val="5B9DA56B"/>
    <w:rsid w:val="5D753EAF"/>
    <w:rsid w:val="5DFCF88E"/>
    <w:rsid w:val="64FF0119"/>
    <w:rsid w:val="652BCED7"/>
    <w:rsid w:val="66B317B8"/>
    <w:rsid w:val="677B47B7"/>
    <w:rsid w:val="6AD2649C"/>
    <w:rsid w:val="6AE409D4"/>
    <w:rsid w:val="6D8D0DA1"/>
    <w:rsid w:val="6DAFBE22"/>
    <w:rsid w:val="6DBF9633"/>
    <w:rsid w:val="6E6EB573"/>
    <w:rsid w:val="6F6B6CB8"/>
    <w:rsid w:val="6F815CCC"/>
    <w:rsid w:val="743C9EE0"/>
    <w:rsid w:val="751EFAC0"/>
    <w:rsid w:val="75530B22"/>
    <w:rsid w:val="75780BDC"/>
    <w:rsid w:val="767F67FD"/>
    <w:rsid w:val="7742361E"/>
    <w:rsid w:val="777F9BF5"/>
    <w:rsid w:val="777FD04B"/>
    <w:rsid w:val="7793F589"/>
    <w:rsid w:val="77F3DAC6"/>
    <w:rsid w:val="77FAD9F3"/>
    <w:rsid w:val="790E2D96"/>
    <w:rsid w:val="79F798E3"/>
    <w:rsid w:val="7ADF504E"/>
    <w:rsid w:val="7AF58249"/>
    <w:rsid w:val="7B174FA5"/>
    <w:rsid w:val="7CB2B55A"/>
    <w:rsid w:val="7D2E7C58"/>
    <w:rsid w:val="7DBF3438"/>
    <w:rsid w:val="7DD9F1E6"/>
    <w:rsid w:val="7DFF682D"/>
    <w:rsid w:val="7E0F063F"/>
    <w:rsid w:val="7E4E35DA"/>
    <w:rsid w:val="7ECD841D"/>
    <w:rsid w:val="7F7D579B"/>
    <w:rsid w:val="7FBF3040"/>
    <w:rsid w:val="7FBF43C2"/>
    <w:rsid w:val="7FED19ED"/>
    <w:rsid w:val="7FFA1E77"/>
    <w:rsid w:val="7FFDD799"/>
    <w:rsid w:val="7FFE639E"/>
    <w:rsid w:val="7FFF015C"/>
    <w:rsid w:val="8CE3016F"/>
    <w:rsid w:val="979BC14F"/>
    <w:rsid w:val="97AF74C4"/>
    <w:rsid w:val="97BE009F"/>
    <w:rsid w:val="B557C565"/>
    <w:rsid w:val="BBFF6829"/>
    <w:rsid w:val="BBFFA965"/>
    <w:rsid w:val="BCDED79D"/>
    <w:rsid w:val="BEDF3BEE"/>
    <w:rsid w:val="BFFF19D4"/>
    <w:rsid w:val="CBD6E140"/>
    <w:rsid w:val="CBFDF9C3"/>
    <w:rsid w:val="D37690EE"/>
    <w:rsid w:val="DDCF9B7A"/>
    <w:rsid w:val="DEA7735A"/>
    <w:rsid w:val="DEBF2465"/>
    <w:rsid w:val="DFDE69A3"/>
    <w:rsid w:val="DFF7361B"/>
    <w:rsid w:val="DFFBDA09"/>
    <w:rsid w:val="E8FD0918"/>
    <w:rsid w:val="EB7D1D9F"/>
    <w:rsid w:val="ECEFC30F"/>
    <w:rsid w:val="EEF690CC"/>
    <w:rsid w:val="EFED3EA3"/>
    <w:rsid w:val="EFFE30E5"/>
    <w:rsid w:val="EFFF56C1"/>
    <w:rsid w:val="EFFFB16D"/>
    <w:rsid w:val="F5EFE0BC"/>
    <w:rsid w:val="F71FCAAD"/>
    <w:rsid w:val="F7A2FBED"/>
    <w:rsid w:val="F8FE3D01"/>
    <w:rsid w:val="F9B53F67"/>
    <w:rsid w:val="F9FF39F6"/>
    <w:rsid w:val="FD7B536E"/>
    <w:rsid w:val="FDF372F8"/>
    <w:rsid w:val="FE8F14B0"/>
    <w:rsid w:val="FEFF970B"/>
    <w:rsid w:val="FF397487"/>
    <w:rsid w:val="FFAAEDBE"/>
    <w:rsid w:val="FFC1DCCD"/>
    <w:rsid w:val="FFF7C0C2"/>
    <w:rsid w:val="FFFE0905"/>
    <w:rsid w:val="FFFFB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pPr>
  </w:style>
  <w:style w:type="paragraph" w:styleId="4">
    <w:name w:val="footer"/>
    <w:basedOn w:val="1"/>
    <w:next w:val="5"/>
    <w:qFormat/>
    <w:uiPriority w:val="0"/>
    <w:pPr>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101"/>
    <w:basedOn w:val="8"/>
    <w:qFormat/>
    <w:uiPriority w:val="0"/>
    <w:rPr>
      <w:rFonts w:hint="eastAsia" w:ascii="宋体" w:hAnsi="宋体" w:eastAsia="宋体" w:cs="宋体"/>
      <w:color w:val="000000"/>
      <w:sz w:val="24"/>
      <w:szCs w:val="24"/>
      <w:u w:val="none"/>
    </w:rPr>
  </w:style>
  <w:style w:type="character" w:customStyle="1" w:styleId="11">
    <w:name w:val="font111"/>
    <w:basedOn w:val="8"/>
    <w:qFormat/>
    <w:uiPriority w:val="0"/>
    <w:rPr>
      <w:rFonts w:hint="default" w:ascii="Times New Roman" w:hAnsi="Times New Roman" w:cs="Times New Roman"/>
      <w:color w:val="000000"/>
      <w:sz w:val="24"/>
      <w:szCs w:val="24"/>
      <w:u w:val="none"/>
    </w:rPr>
  </w:style>
  <w:style w:type="character" w:customStyle="1" w:styleId="12">
    <w:name w:val="font112"/>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ascii="Arial" w:hAnsi="Arial" w:cs="Arial"/>
      <w:color w:val="000000"/>
      <w:sz w:val="21"/>
      <w:szCs w:val="21"/>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character" w:customStyle="1" w:styleId="15">
    <w:name w:val="font11"/>
    <w:basedOn w:val="8"/>
    <w:qFormat/>
    <w:uiPriority w:val="0"/>
    <w:rPr>
      <w:rFonts w:hint="eastAsia" w:ascii="宋体" w:hAnsi="宋体" w:eastAsia="宋体" w:cs="宋体"/>
      <w:color w:val="000000"/>
      <w:sz w:val="20"/>
      <w:szCs w:val="20"/>
      <w:u w:val="none"/>
    </w:rPr>
  </w:style>
  <w:style w:type="character" w:customStyle="1" w:styleId="16">
    <w:name w:val="font61"/>
    <w:basedOn w:val="8"/>
    <w:qFormat/>
    <w:uiPriority w:val="0"/>
    <w:rPr>
      <w:rFonts w:ascii="宋体" w:hAnsi="宋体" w:eastAsia="宋体" w:cs="宋体"/>
      <w:color w:val="000000"/>
      <w:sz w:val="20"/>
      <w:szCs w:val="20"/>
      <w:u w:val="none"/>
    </w:rPr>
  </w:style>
  <w:style w:type="character" w:customStyle="1" w:styleId="17">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1129</Words>
  <Characters>1171</Characters>
  <Lines>0</Lines>
  <Paragraphs>0</Paragraphs>
  <TotalTime>26</TotalTime>
  <ScaleCrop>false</ScaleCrop>
  <LinksUpToDate>false</LinksUpToDate>
  <CharactersWithSpaces>1181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kylin</cp:lastModifiedBy>
  <dcterms:modified xsi:type="dcterms:W3CDTF">2024-12-25T14:46:53Z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68A8A9735A15F5AC5DAA6B6707AE65E4</vt:lpwstr>
  </property>
</Properties>
</file>