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“黑气瓶”整治巩固提升统计表</w:t>
      </w:r>
    </w:p>
    <w:bookmarkEnd w:id="0"/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填报单位：                   填报人员：                       联系电话：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</w:p>
    <w:tbl>
      <w:tblPr>
        <w:tblStyle w:val="4"/>
        <w:tblW w:w="13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155"/>
        <w:gridCol w:w="3240"/>
        <w:gridCol w:w="2211"/>
        <w:gridCol w:w="2211"/>
        <w:gridCol w:w="2211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2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439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数据统计时段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  <w:t>2021.11.1-12.31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数据统计时段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  <w:t>2022.1.1-6.30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数据统计时段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  <w:t>2022.7.1-11.30</w:t>
            </w:r>
          </w:p>
        </w:tc>
        <w:tc>
          <w:tcPr>
            <w:tcW w:w="145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5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燃气气瓶充装单位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数量/家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已建立充装追溯平台/家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已建立报废气瓶台账/家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逐瓶购买充装安全责任保险/家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5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燃气气瓶检验机构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充装超期未检验气瓶/家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查处充装“黑气瓶”报废气瓶/家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查处购置翻新“黑气瓶”/家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查处无证充装/家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已整改违法违规行为/家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已建立报废气瓶台账/家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查处制售翻新“黑气瓶”/家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查处出具虚假检验报告/家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155" w:type="dxa"/>
            <w:vMerge w:val="restart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监察机构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查处超期未检气瓶/只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查处翻新“黑气瓶”报废气瓶/只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取缔非法燃气气瓶充装单位/家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吊销燃气气瓶充装单位许可/家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吊销燃气气瓶检验机构核准/家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</w:pPr>
    </w:p>
    <w:p/>
    <w:sectPr>
      <w:pgSz w:w="16838" w:h="11906" w:orient="landscape"/>
      <w:pgMar w:top="680" w:right="1984" w:bottom="340" w:left="170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65F06"/>
    <w:rsid w:val="36165F06"/>
    <w:rsid w:val="3A6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2022-03-28T09:26:00Z</dcterms:created>
  <dc:creator>桃儿七</dc:creator>
  <cp:lastModifiedBy>桃儿七</cp:lastModifiedBy>
  <dcterms:modified xsi:type="dcterms:W3CDTF">2022-03-28T09:29:40Z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6B6881065CBC4098BFC5E1AB6B6ED4F1</vt:lpwstr>
  </property>
</Properties>
</file>