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Cs/>
          <w:color w:val="auto"/>
          <w:w w:val="90"/>
          <w:sz w:val="44"/>
          <w:szCs w:val="44"/>
        </w:rPr>
      </w:pPr>
    </w:p>
    <w:p>
      <w:pPr>
        <w:ind w:left="1205" w:hanging="1205" w:hangingChars="500"/>
        <w:jc w:val="center"/>
        <w:rPr>
          <w:rFonts w:ascii="宋体" w:hAnsi="宋体"/>
          <w:b/>
          <w:bCs/>
          <w:color w:val="auto"/>
          <w:w w:val="90"/>
          <w:sz w:val="52"/>
          <w:szCs w:val="52"/>
        </w:rPr>
      </w:pPr>
      <w:r>
        <w:rPr>
          <w:rFonts w:hint="eastAsia" w:ascii="宋体" w:hAnsi="宋体"/>
          <w:b/>
          <w:color w:val="auto"/>
          <w:sz w:val="24"/>
        </w:rPr>
        <w:drawing>
          <wp:anchor distT="0" distB="0" distL="114300" distR="114300" simplePos="0" relativeHeight="251661312" behindDoc="0" locked="0" layoutInCell="1" allowOverlap="1">
            <wp:simplePos x="0" y="0"/>
            <wp:positionH relativeFrom="column">
              <wp:posOffset>-7620</wp:posOffset>
            </wp:positionH>
            <wp:positionV relativeFrom="paragraph">
              <wp:posOffset>-22860</wp:posOffset>
            </wp:positionV>
            <wp:extent cx="895350" cy="734060"/>
            <wp:effectExtent l="19050" t="0" r="0" b="0"/>
            <wp:wrapSquare wrapText="bothSides"/>
            <wp:docPr id="2" name="图片 2" descr="d4e309a8ad155eeda299d816fdaf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e309a8ad155eeda299d816fdaf4c3"/>
                    <pic:cNvPicPr>
                      <a:picLocks noChangeAspect="1" noChangeArrowheads="1"/>
                    </pic:cNvPicPr>
                  </pic:nvPicPr>
                  <pic:blipFill>
                    <a:blip r:embed="rId11" cstate="print"/>
                    <a:srcRect/>
                    <a:stretch>
                      <a:fillRect/>
                    </a:stretch>
                  </pic:blipFill>
                  <pic:spPr>
                    <a:xfrm>
                      <a:off x="0" y="0"/>
                      <a:ext cx="895350" cy="734060"/>
                    </a:xfrm>
                    <a:prstGeom prst="rect">
                      <a:avLst/>
                    </a:prstGeom>
                    <a:noFill/>
                    <a:ln w="9525">
                      <a:noFill/>
                      <a:miter lim="800000"/>
                      <a:headEnd/>
                      <a:tailEnd/>
                    </a:ln>
                  </pic:spPr>
                </pic:pic>
              </a:graphicData>
            </a:graphic>
          </wp:anchor>
        </w:drawing>
      </w:r>
    </w:p>
    <w:p>
      <w:pPr>
        <w:jc w:val="center"/>
        <w:rPr>
          <w:rFonts w:ascii="宋体" w:hAnsi="宋体"/>
          <w:b/>
          <w:bCs/>
          <w:color w:val="auto"/>
          <w:w w:val="90"/>
          <w:sz w:val="56"/>
          <w:szCs w:val="56"/>
        </w:rPr>
      </w:pPr>
    </w:p>
    <w:p>
      <w:pPr>
        <w:jc w:val="center"/>
        <w:rPr>
          <w:rFonts w:ascii="宋体" w:hAnsi="宋体"/>
          <w:b/>
          <w:bCs/>
          <w:color w:val="auto"/>
          <w:w w:val="90"/>
          <w:sz w:val="56"/>
          <w:szCs w:val="56"/>
        </w:rPr>
      </w:pPr>
    </w:p>
    <w:p>
      <w:pPr>
        <w:jc w:val="center"/>
        <w:rPr>
          <w:rFonts w:ascii="宋体" w:hAnsi="宋体"/>
          <w:b/>
          <w:bCs/>
          <w:color w:val="auto"/>
          <w:spacing w:val="-11"/>
          <w:w w:val="90"/>
          <w:sz w:val="56"/>
          <w:szCs w:val="56"/>
        </w:rPr>
      </w:pPr>
      <w:r>
        <w:rPr>
          <w:rFonts w:hint="eastAsia" w:ascii="宋体" w:hAnsi="宋体"/>
          <w:b/>
          <w:bCs/>
          <w:color w:val="auto"/>
          <w:spacing w:val="-11"/>
          <w:w w:val="90"/>
          <w:sz w:val="56"/>
          <w:szCs w:val="56"/>
        </w:rPr>
        <w:t>海原县政策性农业保险承保机构遴选</w:t>
      </w:r>
    </w:p>
    <w:p>
      <w:pPr>
        <w:ind w:left="2548" w:hanging="2531" w:hangingChars="500"/>
        <w:jc w:val="center"/>
        <w:rPr>
          <w:rFonts w:ascii="宋体" w:hAnsi="宋体"/>
          <w:b/>
          <w:bCs/>
          <w:color w:val="auto"/>
          <w:w w:val="90"/>
          <w:sz w:val="56"/>
          <w:szCs w:val="56"/>
        </w:rPr>
      </w:pPr>
    </w:p>
    <w:p>
      <w:pPr>
        <w:ind w:right="420"/>
        <w:rPr>
          <w:rFonts w:ascii="仿宋_GB2312" w:hAnsi="宋体" w:eastAsia="仿宋_GB2312"/>
          <w:bCs/>
          <w:color w:val="auto"/>
          <w:szCs w:val="21"/>
        </w:rPr>
      </w:pPr>
    </w:p>
    <w:p>
      <w:pPr>
        <w:rPr>
          <w:rFonts w:ascii="仿宋_GB2312" w:hAnsi="宋体" w:eastAsia="仿宋_GB2312"/>
          <w:bCs/>
          <w:color w:val="auto"/>
          <w:szCs w:val="21"/>
        </w:rPr>
      </w:pPr>
    </w:p>
    <w:p>
      <w:pPr>
        <w:rPr>
          <w:rFonts w:ascii="仿宋_GB2312" w:hAnsi="宋体" w:eastAsia="仿宋_GB2312"/>
          <w:bCs/>
          <w:color w:val="auto"/>
          <w:szCs w:val="21"/>
        </w:rPr>
      </w:pPr>
    </w:p>
    <w:p>
      <w:pPr>
        <w:rPr>
          <w:rFonts w:ascii="仿宋_GB2312" w:hAnsi="宋体" w:eastAsia="仿宋_GB2312"/>
          <w:bCs/>
          <w:color w:val="auto"/>
          <w:szCs w:val="21"/>
        </w:rPr>
      </w:pPr>
    </w:p>
    <w:p>
      <w:pPr>
        <w:jc w:val="center"/>
        <w:rPr>
          <w:rFonts w:ascii="宋体" w:hAnsi="宋体"/>
          <w:b/>
          <w:color w:val="auto"/>
          <w:sz w:val="84"/>
          <w:szCs w:val="84"/>
        </w:rPr>
      </w:pPr>
      <w:r>
        <w:rPr>
          <w:rFonts w:hint="eastAsia" w:ascii="宋体" w:hAnsi="宋体"/>
          <w:b/>
          <w:color w:val="auto"/>
          <w:sz w:val="84"/>
          <w:szCs w:val="84"/>
        </w:rPr>
        <w:t>遴选文件</w:t>
      </w:r>
    </w:p>
    <w:p>
      <w:pPr>
        <w:rPr>
          <w:rFonts w:ascii="仿宋_GB2312" w:hAnsi="宋体" w:eastAsia="仿宋_GB2312"/>
          <w:bCs/>
          <w:color w:val="auto"/>
          <w:sz w:val="28"/>
          <w:szCs w:val="28"/>
        </w:rPr>
      </w:pPr>
    </w:p>
    <w:p>
      <w:pPr>
        <w:rPr>
          <w:rFonts w:ascii="宋体" w:hAnsi="宋体"/>
          <w:bCs/>
          <w:color w:val="auto"/>
          <w:sz w:val="30"/>
          <w:szCs w:val="30"/>
        </w:rPr>
      </w:pPr>
    </w:p>
    <w:p>
      <w:pPr>
        <w:rPr>
          <w:rFonts w:ascii="宋体" w:hAnsi="宋体"/>
          <w:bCs/>
          <w:color w:val="auto"/>
          <w:sz w:val="30"/>
          <w:szCs w:val="30"/>
        </w:rPr>
      </w:pPr>
    </w:p>
    <w:p>
      <w:pPr>
        <w:rPr>
          <w:rFonts w:ascii="宋体" w:hAnsi="宋体"/>
          <w:b/>
          <w:bCs/>
          <w:color w:val="auto"/>
          <w:sz w:val="30"/>
          <w:szCs w:val="30"/>
        </w:rPr>
      </w:pPr>
    </w:p>
    <w:p>
      <w:pPr>
        <w:ind w:firstLine="2108" w:firstLineChars="700"/>
        <w:rPr>
          <w:rFonts w:ascii="宋体" w:hAnsi="宋体"/>
          <w:b/>
          <w:color w:val="auto"/>
          <w:sz w:val="30"/>
          <w:szCs w:val="30"/>
        </w:rPr>
      </w:pPr>
      <w:r>
        <w:rPr>
          <w:rFonts w:hint="eastAsia" w:ascii="宋体" w:hAnsi="宋体"/>
          <w:b/>
          <w:color w:val="auto"/>
          <w:sz w:val="30"/>
          <w:szCs w:val="30"/>
        </w:rPr>
        <w:t>项目编号：QYZB(CG)-2021-038</w:t>
      </w:r>
    </w:p>
    <w:p>
      <w:pPr>
        <w:ind w:firstLine="2108" w:firstLineChars="700"/>
        <w:rPr>
          <w:rFonts w:hint="eastAsia" w:ascii="宋体" w:hAnsi="宋体"/>
          <w:b/>
          <w:color w:val="auto"/>
          <w:sz w:val="30"/>
          <w:szCs w:val="30"/>
        </w:rPr>
      </w:pPr>
      <w:r>
        <w:rPr>
          <w:rFonts w:hint="eastAsia" w:ascii="宋体" w:hAnsi="宋体"/>
          <w:b/>
          <w:color w:val="auto"/>
          <w:sz w:val="30"/>
          <w:szCs w:val="30"/>
        </w:rPr>
        <w:t>遴 选 人：海原县农业保险</w:t>
      </w:r>
      <w:r>
        <w:rPr>
          <w:rFonts w:hint="eastAsia" w:ascii="宋体" w:hAnsi="宋体"/>
          <w:b/>
          <w:color w:val="auto"/>
          <w:sz w:val="30"/>
          <w:szCs w:val="30"/>
          <w:lang w:val="en-US" w:eastAsia="zh-CN"/>
        </w:rPr>
        <w:t>工作领导小组办公室</w:t>
      </w:r>
    </w:p>
    <w:p>
      <w:pPr>
        <w:ind w:firstLine="2108" w:firstLineChars="700"/>
        <w:rPr>
          <w:rFonts w:ascii="宋体" w:hAnsi="宋体"/>
          <w:b/>
          <w:color w:val="auto"/>
          <w:sz w:val="30"/>
          <w:szCs w:val="30"/>
        </w:rPr>
      </w:pPr>
      <w:r>
        <w:rPr>
          <w:rFonts w:hint="eastAsia" w:ascii="宋体" w:hAnsi="宋体"/>
          <w:b/>
          <w:color w:val="auto"/>
          <w:sz w:val="30"/>
          <w:szCs w:val="30"/>
        </w:rPr>
        <w:t>代理机构：泉园（宁夏）项目管理有限公司</w:t>
      </w:r>
    </w:p>
    <w:p>
      <w:pPr>
        <w:jc w:val="center"/>
        <w:rPr>
          <w:rFonts w:ascii="宋体" w:hAnsi="宋体"/>
          <w:b/>
          <w:color w:val="auto"/>
          <w:sz w:val="30"/>
          <w:szCs w:val="30"/>
        </w:rPr>
      </w:pPr>
    </w:p>
    <w:p>
      <w:pPr>
        <w:jc w:val="center"/>
        <w:rPr>
          <w:rFonts w:hint="eastAsia" w:ascii="宋体" w:hAnsi="宋体"/>
          <w:b/>
          <w:bCs/>
          <w:color w:val="auto"/>
          <w:sz w:val="30"/>
          <w:szCs w:val="30"/>
        </w:rPr>
      </w:pPr>
      <w:r>
        <w:rPr>
          <w:rFonts w:hint="eastAsia" w:ascii="宋体" w:hAnsi="宋体"/>
          <w:b/>
          <w:bCs/>
          <w:color w:val="auto"/>
          <w:sz w:val="30"/>
          <w:szCs w:val="30"/>
        </w:rPr>
        <w:t>二</w:t>
      </w:r>
      <w:r>
        <w:rPr>
          <w:rFonts w:hint="eastAsia" w:ascii="宋体" w:hAnsi="宋体" w:cs="宋体"/>
          <w:b/>
          <w:bCs/>
          <w:color w:val="auto"/>
          <w:sz w:val="30"/>
          <w:szCs w:val="30"/>
        </w:rPr>
        <w:t>〇</w:t>
      </w:r>
      <w:r>
        <w:rPr>
          <w:rFonts w:hint="eastAsia" w:ascii="宋体" w:hAnsi="宋体" w:cs="仿宋_GB2312"/>
          <w:b/>
          <w:bCs/>
          <w:color w:val="auto"/>
          <w:sz w:val="30"/>
          <w:szCs w:val="30"/>
        </w:rPr>
        <w:t>二</w:t>
      </w:r>
      <w:r>
        <w:rPr>
          <w:rFonts w:hint="eastAsia" w:ascii="宋体" w:hAnsi="宋体" w:cs="宋体"/>
          <w:b/>
          <w:bCs/>
          <w:color w:val="auto"/>
          <w:sz w:val="30"/>
          <w:szCs w:val="30"/>
        </w:rPr>
        <w:t>一</w:t>
      </w:r>
      <w:r>
        <w:rPr>
          <w:rFonts w:hint="eastAsia" w:ascii="宋体" w:hAnsi="宋体" w:cs="仿宋_GB2312"/>
          <w:b/>
          <w:bCs/>
          <w:color w:val="auto"/>
          <w:sz w:val="30"/>
          <w:szCs w:val="30"/>
        </w:rPr>
        <w:t>年十二</w:t>
      </w:r>
      <w:r>
        <w:rPr>
          <w:rFonts w:hint="eastAsia" w:ascii="宋体" w:hAnsi="宋体"/>
          <w:b/>
          <w:bCs/>
          <w:color w:val="auto"/>
          <w:sz w:val="30"/>
          <w:szCs w:val="30"/>
        </w:rPr>
        <w:t>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rPr>
        <w:sectPr>
          <w:footerReference r:id="rId5" w:type="first"/>
          <w:headerReference r:id="rId3" w:type="default"/>
          <w:footerReference r:id="rId4" w:type="default"/>
          <w:pgSz w:w="11906" w:h="16838"/>
          <w:pgMar w:top="1134" w:right="1134" w:bottom="1134" w:left="1418" w:header="851" w:footer="850" w:gutter="0"/>
          <w:pgNumType w:start="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rPr>
      </w:pPr>
      <w:bookmarkStart w:id="58" w:name="_GoBack"/>
      <w:bookmarkEnd w:id="58"/>
      <w:r>
        <w:rPr>
          <w:rFonts w:hint="eastAsia" w:ascii="方正小标宋简体" w:hAnsi="方正小标宋简体" w:eastAsia="方正小标宋简体" w:cs="方正小标宋简体"/>
          <w:color w:val="auto"/>
          <w:sz w:val="44"/>
          <w:szCs w:val="44"/>
        </w:rPr>
        <w:t>海原县政策性农业保险承保机构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遴选工作公告</w:t>
      </w:r>
    </w:p>
    <w:p>
      <w:pPr>
        <w:spacing w:line="360" w:lineRule="auto"/>
        <w:ind w:firstLine="640" w:firstLineChars="200"/>
        <w:rPr>
          <w:rFonts w:asciiTheme="minorEastAsia" w:hAnsiTheme="minorEastAsia" w:eastAsiaTheme="minorEastAsia"/>
          <w:color w:val="auto"/>
          <w:sz w:val="32"/>
          <w:szCs w:val="32"/>
        </w:rPr>
      </w:pPr>
    </w:p>
    <w:p>
      <w:pPr>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按照《关于加快农业保险高质量发展的指导意见》（财金〔2019〕102号）、《财政部农业农村部关于加强政策性农业保险承保机构遴选管理工作的通知》（财金〔2020〕128号）、《宁夏回族自治区财政厅</w:t>
      </w:r>
      <w:r>
        <w:rPr>
          <w:rFonts w:hint="eastAsia" w:asciiTheme="minorEastAsia" w:hAnsiTheme="minorEastAsia" w:eastAsiaTheme="minorEastAsia"/>
          <w:color w:val="auto"/>
          <w:sz w:val="32"/>
          <w:szCs w:val="32"/>
        </w:rPr>
        <w:t xml:space="preserve"> </w:t>
      </w:r>
      <w:r>
        <w:rPr>
          <w:rFonts w:asciiTheme="minorEastAsia" w:hAnsiTheme="minorEastAsia" w:eastAsiaTheme="minorEastAsia"/>
          <w:color w:val="auto"/>
          <w:sz w:val="32"/>
          <w:szCs w:val="32"/>
        </w:rPr>
        <w:t>农业农村厅关于做好政策性农业保险承保机构遴选管理工作的通知》（宁财农发〔2021〕498号）等文件精神，为进一步加强政策性农业保险承保机构管理，提升农业保险服务质量，提高财政资金使用效益，现就</w:t>
      </w:r>
      <w:r>
        <w:rPr>
          <w:rFonts w:hint="eastAsia" w:asciiTheme="minorEastAsia" w:hAnsiTheme="minorEastAsia" w:eastAsiaTheme="minorEastAsia"/>
          <w:color w:val="auto"/>
          <w:sz w:val="32"/>
          <w:szCs w:val="32"/>
        </w:rPr>
        <w:t>海原县</w:t>
      </w:r>
      <w:r>
        <w:rPr>
          <w:rFonts w:asciiTheme="minorEastAsia" w:hAnsiTheme="minorEastAsia" w:eastAsiaTheme="minorEastAsia"/>
          <w:color w:val="auto"/>
          <w:sz w:val="32"/>
          <w:szCs w:val="32"/>
        </w:rPr>
        <w:t>政策性农业保险承保机构遴选工作有关事项公告如下。</w:t>
      </w:r>
    </w:p>
    <w:p>
      <w:pPr>
        <w:pStyle w:val="38"/>
        <w:widowControl/>
        <w:spacing w:before="0" w:beforeAutospacing="0" w:after="0" w:afterAutospacing="0"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rPr>
        <w:t>一、主要内容</w:t>
      </w:r>
    </w:p>
    <w:p>
      <w:pPr>
        <w:pStyle w:val="38"/>
        <w:widowControl/>
        <w:spacing w:before="0" w:beforeAutospacing="0" w:after="0" w:afterAutospacing="0" w:line="360" w:lineRule="auto"/>
        <w:ind w:firstLine="643" w:firstLineChars="200"/>
        <w:jc w:val="both"/>
        <w:rPr>
          <w:rFonts w:asciiTheme="minorEastAsia" w:hAnsiTheme="minorEastAsia" w:eastAsiaTheme="minorEastAsia"/>
          <w:color w:val="auto"/>
          <w:sz w:val="32"/>
          <w:szCs w:val="32"/>
        </w:rPr>
      </w:pPr>
      <w:r>
        <w:rPr>
          <w:rFonts w:hint="eastAsia" w:ascii="楷体_GB2312" w:hAnsi="楷体_GB2312" w:eastAsia="楷体_GB2312" w:cs="楷体_GB2312"/>
          <w:b/>
          <w:color w:val="auto"/>
          <w:sz w:val="32"/>
          <w:szCs w:val="32"/>
          <w:shd w:val="clear" w:color="auto" w:fill="FFFFFF"/>
        </w:rPr>
        <w:t>（一）遴选范围。</w:t>
      </w:r>
      <w:r>
        <w:rPr>
          <w:rFonts w:asciiTheme="minorEastAsia" w:hAnsiTheme="minorEastAsia" w:eastAsiaTheme="minorEastAsia"/>
          <w:color w:val="auto"/>
          <w:sz w:val="32"/>
          <w:szCs w:val="32"/>
          <w:shd w:val="clear" w:color="auto" w:fill="FFFFFF"/>
        </w:rPr>
        <w:t>参选政策性农业保险的承保机构，是指经自治区财政部门批复获准开展政策性农业保险经营服务的自治区级保险机构，并经自治区级保险机构授权的县级分支机构（以下简称“承保机构”），可以申请参加当地承保机构遴选工作。</w:t>
      </w:r>
      <w:r>
        <w:rPr>
          <w:rFonts w:hint="eastAsia" w:asciiTheme="minorEastAsia" w:hAnsiTheme="minorEastAsia" w:eastAsiaTheme="minorEastAsia"/>
          <w:color w:val="auto"/>
          <w:sz w:val="32"/>
          <w:szCs w:val="32"/>
          <w:shd w:val="clear" w:color="auto" w:fill="FFFFFF"/>
        </w:rPr>
        <w:t>海原县政策性农业保险承保机构遴选仅限于海原县当地有资质的承保机构申请参加。</w:t>
      </w:r>
    </w:p>
    <w:p>
      <w:pPr>
        <w:pStyle w:val="38"/>
        <w:widowControl/>
        <w:spacing w:before="0" w:beforeAutospacing="0" w:after="0" w:afterAutospacing="0" w:line="360" w:lineRule="auto"/>
        <w:ind w:firstLine="643" w:firstLineChars="200"/>
        <w:jc w:val="both"/>
        <w:rPr>
          <w:rFonts w:asciiTheme="minorEastAsia" w:hAnsiTheme="minorEastAsia" w:eastAsiaTheme="minorEastAsia"/>
          <w:color w:val="auto"/>
          <w:sz w:val="32"/>
          <w:szCs w:val="32"/>
        </w:rPr>
      </w:pPr>
      <w:r>
        <w:rPr>
          <w:rFonts w:hint="eastAsia" w:ascii="楷体_GB2312" w:hAnsi="楷体_GB2312" w:eastAsia="楷体_GB2312" w:cs="楷体_GB2312"/>
          <w:b/>
          <w:color w:val="auto"/>
          <w:sz w:val="32"/>
          <w:szCs w:val="32"/>
          <w:shd w:val="clear" w:color="auto" w:fill="FFFFFF"/>
        </w:rPr>
        <w:t>（二）保险品种。</w:t>
      </w:r>
      <w:r>
        <w:rPr>
          <w:rFonts w:asciiTheme="minorEastAsia" w:hAnsiTheme="minorEastAsia" w:eastAsiaTheme="minorEastAsia"/>
          <w:color w:val="auto"/>
          <w:sz w:val="32"/>
          <w:szCs w:val="32"/>
          <w:shd w:val="clear" w:color="auto" w:fill="FFFFFF"/>
        </w:rPr>
        <w:t>遴选承保机构经营服务的政策性农业保险，是指由各级财政提供保费补贴的政策性农业保险，涵盖所有享受中央、自治区、市、县（区）财政保费补贴的种植业、养殖业、林业等保险品种。</w:t>
      </w:r>
      <w:r>
        <w:rPr>
          <w:rFonts w:hint="eastAsia" w:asciiTheme="minorEastAsia" w:hAnsiTheme="minorEastAsia" w:eastAsiaTheme="minorEastAsia"/>
          <w:color w:val="auto"/>
          <w:sz w:val="32"/>
          <w:szCs w:val="32"/>
          <w:shd w:val="clear" w:color="auto" w:fill="FFFFFF"/>
        </w:rPr>
        <w:t>不包括自治区已确定开展的创新保险试点险种及</w:t>
      </w:r>
      <w:r>
        <w:rPr>
          <w:rFonts w:asciiTheme="minorEastAsia" w:hAnsiTheme="minorEastAsia" w:eastAsiaTheme="minorEastAsia"/>
          <w:color w:val="auto"/>
          <w:sz w:val="32"/>
          <w:szCs w:val="32"/>
          <w:shd w:val="clear" w:color="auto" w:fill="FFFFFF"/>
        </w:rPr>
        <w:t>承保机构自主开展的各类涉农商业性保险品种。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color w:val="auto"/>
          <w:sz w:val="32"/>
          <w:szCs w:val="32"/>
          <w:shd w:val="clear" w:color="auto" w:fill="FFFFFF"/>
        </w:rPr>
      </w:pPr>
      <w:r>
        <w:rPr>
          <w:rFonts w:hint="eastAsia" w:ascii="楷体_GB2312" w:hAnsi="楷体_GB2312" w:eastAsia="楷体_GB2312" w:cs="楷体_GB2312"/>
          <w:b/>
          <w:color w:val="auto"/>
          <w:sz w:val="32"/>
          <w:szCs w:val="32"/>
          <w:shd w:val="clear" w:color="auto" w:fill="FFFFFF"/>
        </w:rPr>
        <w:t>（三）</w:t>
      </w:r>
      <w:r>
        <w:rPr>
          <w:rFonts w:hint="eastAsia" w:cs="Times New Roman" w:asciiTheme="minorEastAsia" w:hAnsiTheme="minorEastAsia" w:eastAsiaTheme="minorEastAsia"/>
          <w:color w:val="auto"/>
          <w:kern w:val="0"/>
          <w:sz w:val="32"/>
          <w:szCs w:val="32"/>
          <w:shd w:val="clear" w:color="auto" w:fill="FFFFFF"/>
          <w:lang w:val="en-US" w:eastAsia="zh-CN" w:bidi="ar-SA"/>
        </w:rPr>
        <w:t>海原县财政局作为组织实施部门，会同海原县农业农村局、自然资源局组织实施政策性农业保险承保机构遴选工作，本次遴选委托有资质的第三方机构代理开展公开竞争性遴选工作，代理机构应当在组织实施部门委托的范围内依法依规开展遴选活动，</w:t>
      </w:r>
    </w:p>
    <w:p>
      <w:pPr>
        <w:pStyle w:val="38"/>
        <w:widowControl/>
        <w:spacing w:before="0" w:beforeAutospacing="0" w:after="0" w:afterAutospacing="0" w:line="360" w:lineRule="auto"/>
        <w:ind w:firstLine="643" w:firstLineChars="200"/>
        <w:jc w:val="both"/>
        <w:rPr>
          <w:rFonts w:asciiTheme="minorEastAsia" w:hAnsiTheme="minorEastAsia" w:eastAsiaTheme="minorEastAsia"/>
          <w:color w:val="auto"/>
          <w:sz w:val="32"/>
          <w:szCs w:val="32"/>
          <w:shd w:val="clear" w:color="auto" w:fill="FFFFFF"/>
        </w:rPr>
      </w:pPr>
      <w:r>
        <w:rPr>
          <w:rFonts w:hint="eastAsia" w:ascii="楷体_GB2312" w:hAnsi="楷体_GB2312" w:eastAsia="楷体_GB2312" w:cs="楷体_GB2312"/>
          <w:b/>
          <w:color w:val="auto"/>
          <w:sz w:val="32"/>
          <w:szCs w:val="32"/>
          <w:shd w:val="clear" w:color="auto" w:fill="FFFFFF"/>
        </w:rPr>
        <w:t>（四）</w:t>
      </w:r>
      <w:r>
        <w:rPr>
          <w:rFonts w:hint="eastAsia" w:asciiTheme="minorEastAsia" w:hAnsiTheme="minorEastAsia" w:eastAsiaTheme="minorEastAsia"/>
          <w:color w:val="auto"/>
          <w:sz w:val="32"/>
          <w:szCs w:val="32"/>
          <w:shd w:val="clear" w:color="auto" w:fill="FFFFFF"/>
        </w:rPr>
        <w:t>按照</w:t>
      </w:r>
      <w:r>
        <w:rPr>
          <w:rFonts w:asciiTheme="minorEastAsia" w:hAnsiTheme="minorEastAsia" w:eastAsiaTheme="minorEastAsia"/>
          <w:color w:val="auto"/>
          <w:sz w:val="32"/>
          <w:szCs w:val="32"/>
          <w:shd w:val="clear" w:color="auto" w:fill="FFFFFF"/>
        </w:rPr>
        <w:t>客观公正、公平竞争、诚实信用和优胜劣汰原则，突出以服务能力、合规经营能力、风险管控能力为前提，择优确定承保机构。承保机构不超过3家，最终根据报名及遴选评审情况确定。承保机构一经确定，有效期为3年，即2022年1月1日－2024年12月31日。</w:t>
      </w:r>
    </w:p>
    <w:p>
      <w:pPr>
        <w:widowControl/>
        <w:spacing w:line="360" w:lineRule="auto"/>
        <w:ind w:firstLine="643" w:firstLineChars="200"/>
        <w:rPr>
          <w:rFonts w:asciiTheme="minorEastAsia" w:hAnsiTheme="minorEastAsia" w:eastAsiaTheme="minorEastAsia"/>
          <w:color w:val="auto"/>
          <w:kern w:val="0"/>
          <w:sz w:val="32"/>
          <w:szCs w:val="32"/>
          <w:shd w:val="clear" w:color="auto" w:fill="FFFFFF"/>
        </w:rPr>
      </w:pPr>
      <w:r>
        <w:rPr>
          <w:rFonts w:hint="eastAsia" w:ascii="楷体_GB2312" w:hAnsi="楷体_GB2312" w:eastAsia="楷体_GB2312" w:cs="楷体_GB2312"/>
          <w:b/>
          <w:color w:val="auto"/>
          <w:kern w:val="0"/>
          <w:sz w:val="32"/>
          <w:szCs w:val="32"/>
          <w:shd w:val="clear" w:color="auto" w:fill="FFFFFF"/>
          <w:lang w:val="en-US" w:eastAsia="zh-CN" w:bidi="ar-SA"/>
        </w:rPr>
        <w:t>（五）</w:t>
      </w:r>
      <w:r>
        <w:rPr>
          <w:rFonts w:hint="eastAsia" w:asciiTheme="minorEastAsia" w:hAnsiTheme="minorEastAsia" w:eastAsiaTheme="minorEastAsia"/>
          <w:color w:val="auto"/>
          <w:kern w:val="0"/>
          <w:sz w:val="32"/>
          <w:szCs w:val="32"/>
          <w:shd w:val="clear" w:color="auto" w:fill="FFFFFF"/>
        </w:rPr>
        <w:t>承保机构在服务期内，如因开展政策性农业保险违规违法、农业保险绩效考核不合格、受到相关部门处罚等，应按照政策性农业保险保费补贴管理办法等有关规定，取消中选承保机构政策性农业保险承保资格，由其他符合条件的承保机构依次递补承接。</w:t>
      </w:r>
    </w:p>
    <w:p>
      <w:pPr>
        <w:pStyle w:val="38"/>
        <w:widowControl/>
        <w:spacing w:before="0" w:beforeAutospacing="0" w:after="0" w:afterAutospacing="0" w:line="360" w:lineRule="auto"/>
        <w:ind w:firstLine="643" w:firstLineChars="200"/>
        <w:jc w:val="both"/>
        <w:rPr>
          <w:rFonts w:asciiTheme="minorEastAsia" w:hAnsiTheme="minorEastAsia" w:eastAsiaTheme="minorEastAsia"/>
          <w:color w:val="auto"/>
          <w:sz w:val="32"/>
          <w:szCs w:val="32"/>
          <w:shd w:val="clear" w:color="auto" w:fill="FFFFFF"/>
        </w:rPr>
      </w:pPr>
      <w:r>
        <w:rPr>
          <w:rFonts w:hint="eastAsia" w:ascii="楷体_GB2312" w:hAnsi="楷体_GB2312" w:eastAsia="楷体_GB2312" w:cs="楷体_GB2312"/>
          <w:b/>
          <w:color w:val="auto"/>
          <w:sz w:val="32"/>
          <w:szCs w:val="32"/>
          <w:shd w:val="clear" w:color="auto" w:fill="FFFFFF"/>
        </w:rPr>
        <w:t>（六）</w:t>
      </w:r>
      <w:r>
        <w:rPr>
          <w:rFonts w:hint="eastAsia" w:asciiTheme="minorEastAsia" w:hAnsiTheme="minorEastAsia" w:eastAsiaTheme="minorEastAsia"/>
          <w:color w:val="auto"/>
          <w:sz w:val="32"/>
          <w:szCs w:val="32"/>
          <w:shd w:val="clear" w:color="auto" w:fill="FFFFFF"/>
        </w:rPr>
        <w:t>经营服务期限内，对出现政策调整、增开新型险种及因违规违法取消政策性农业保险承保资格等情况，不再另行遴选承保机构，由其他符合条件的承保机构依次递补承接。</w:t>
      </w:r>
    </w:p>
    <w:p>
      <w:pPr>
        <w:pStyle w:val="38"/>
        <w:widowControl/>
        <w:spacing w:before="0" w:beforeAutospacing="0" w:after="0" w:afterAutospacing="0" w:line="360" w:lineRule="auto"/>
        <w:ind w:firstLine="643" w:firstLineChars="200"/>
        <w:jc w:val="both"/>
        <w:rPr>
          <w:rFonts w:asciiTheme="minorEastAsia" w:hAnsiTheme="minorEastAsia" w:eastAsiaTheme="minorEastAsia"/>
          <w:color w:val="auto"/>
          <w:sz w:val="32"/>
          <w:szCs w:val="32"/>
          <w:shd w:val="clear" w:color="auto" w:fill="FFFFFF"/>
        </w:rPr>
      </w:pPr>
      <w:r>
        <w:rPr>
          <w:rFonts w:hint="eastAsia" w:ascii="楷体_GB2312" w:hAnsi="楷体_GB2312" w:eastAsia="楷体_GB2312" w:cs="楷体_GB2312"/>
          <w:b/>
          <w:color w:val="auto"/>
          <w:sz w:val="32"/>
          <w:szCs w:val="32"/>
          <w:shd w:val="clear" w:color="auto" w:fill="FFFFFF"/>
        </w:rPr>
        <w:t>（七）</w:t>
      </w:r>
      <w:r>
        <w:rPr>
          <w:rFonts w:asciiTheme="minorEastAsia" w:hAnsiTheme="minorEastAsia" w:eastAsiaTheme="minorEastAsia"/>
          <w:color w:val="auto"/>
          <w:sz w:val="32"/>
          <w:szCs w:val="32"/>
          <w:shd w:val="clear" w:color="auto" w:fill="FFFFFF"/>
        </w:rPr>
        <w:t>参加遴选的保险机构应当位于银保监部门发布的符合农险经营资质的保险机构名录内，且在</w:t>
      </w:r>
      <w:r>
        <w:rPr>
          <w:rFonts w:hint="eastAsia" w:asciiTheme="minorEastAsia" w:hAnsiTheme="minorEastAsia" w:eastAsiaTheme="minorEastAsia"/>
          <w:color w:val="auto"/>
          <w:sz w:val="32"/>
          <w:szCs w:val="32"/>
          <w:shd w:val="clear" w:color="auto" w:fill="FFFFFF"/>
        </w:rPr>
        <w:t>海原县内</w:t>
      </w:r>
      <w:r>
        <w:rPr>
          <w:rFonts w:asciiTheme="minorEastAsia" w:hAnsiTheme="minorEastAsia" w:eastAsiaTheme="minorEastAsia"/>
          <w:color w:val="auto"/>
          <w:sz w:val="32"/>
          <w:szCs w:val="32"/>
          <w:shd w:val="clear" w:color="auto" w:fill="FFFFFF"/>
        </w:rPr>
        <w:t>要有分支机构，具有完善的基层服务网络。</w:t>
      </w:r>
    </w:p>
    <w:p>
      <w:pPr>
        <w:pStyle w:val="38"/>
        <w:widowControl/>
        <w:spacing w:before="0" w:beforeAutospacing="0" w:after="0" w:afterAutospacing="0" w:line="360" w:lineRule="auto"/>
        <w:ind w:firstLine="643" w:firstLineChars="200"/>
        <w:jc w:val="both"/>
        <w:rPr>
          <w:rFonts w:asciiTheme="minorEastAsia" w:hAnsiTheme="minorEastAsia" w:eastAsiaTheme="minorEastAsia"/>
          <w:color w:val="auto"/>
          <w:sz w:val="32"/>
          <w:szCs w:val="32"/>
          <w:shd w:val="clear" w:color="auto" w:fill="FFFFFF"/>
        </w:rPr>
      </w:pPr>
      <w:r>
        <w:rPr>
          <w:rFonts w:hint="eastAsia" w:ascii="楷体_GB2312" w:hAnsi="楷体_GB2312" w:eastAsia="楷体_GB2312" w:cs="楷体_GB2312"/>
          <w:b/>
          <w:color w:val="auto"/>
          <w:sz w:val="32"/>
          <w:szCs w:val="32"/>
          <w:shd w:val="clear" w:color="auto" w:fill="FFFFFF"/>
        </w:rPr>
        <w:t>（八）</w:t>
      </w:r>
      <w:r>
        <w:rPr>
          <w:rFonts w:asciiTheme="minorEastAsia" w:hAnsiTheme="minorEastAsia" w:eastAsiaTheme="minorEastAsia"/>
          <w:color w:val="auto"/>
          <w:sz w:val="32"/>
          <w:szCs w:val="32"/>
          <w:shd w:val="clear" w:color="auto" w:fill="FFFFFF"/>
        </w:rPr>
        <w:t>遴选评审</w:t>
      </w:r>
      <w:r>
        <w:rPr>
          <w:rFonts w:hint="eastAsia" w:asciiTheme="minorEastAsia" w:hAnsiTheme="minorEastAsia" w:eastAsiaTheme="minorEastAsia"/>
          <w:color w:val="auto"/>
          <w:sz w:val="32"/>
          <w:szCs w:val="32"/>
          <w:shd w:val="clear" w:color="auto" w:fill="FFFFFF"/>
        </w:rPr>
        <w:t>组成员</w:t>
      </w:r>
      <w:r>
        <w:rPr>
          <w:rFonts w:asciiTheme="minorEastAsia" w:hAnsiTheme="minorEastAsia" w:eastAsiaTheme="minorEastAsia"/>
          <w:color w:val="auto"/>
          <w:sz w:val="32"/>
          <w:szCs w:val="32"/>
          <w:shd w:val="clear" w:color="auto" w:fill="FFFFFF"/>
        </w:rPr>
        <w:t>原则上由相关</w:t>
      </w:r>
      <w:r>
        <w:rPr>
          <w:rFonts w:hint="eastAsia" w:asciiTheme="minorEastAsia" w:hAnsiTheme="minorEastAsia" w:eastAsiaTheme="minorEastAsia"/>
          <w:color w:val="auto"/>
          <w:sz w:val="32"/>
          <w:szCs w:val="32"/>
          <w:shd w:val="clear" w:color="auto" w:fill="FFFFFF"/>
        </w:rPr>
        <w:t>行业</w:t>
      </w:r>
      <w:r>
        <w:rPr>
          <w:rFonts w:asciiTheme="minorEastAsia" w:hAnsiTheme="minorEastAsia" w:eastAsiaTheme="minorEastAsia"/>
          <w:color w:val="auto"/>
          <w:sz w:val="32"/>
          <w:szCs w:val="32"/>
          <w:shd w:val="clear" w:color="auto" w:fill="FFFFFF"/>
        </w:rPr>
        <w:t>部门专家组成，实行</w:t>
      </w:r>
      <w:r>
        <w:rPr>
          <w:rFonts w:hint="eastAsia" w:asciiTheme="minorEastAsia" w:hAnsiTheme="minorEastAsia" w:eastAsiaTheme="minorEastAsia"/>
          <w:color w:val="auto"/>
          <w:sz w:val="32"/>
          <w:szCs w:val="32"/>
          <w:shd w:val="clear" w:color="auto" w:fill="FFFFFF"/>
        </w:rPr>
        <w:t>遴选</w:t>
      </w:r>
      <w:r>
        <w:rPr>
          <w:rFonts w:asciiTheme="minorEastAsia" w:hAnsiTheme="minorEastAsia" w:eastAsiaTheme="minorEastAsia"/>
          <w:color w:val="auto"/>
          <w:sz w:val="32"/>
          <w:szCs w:val="32"/>
          <w:shd w:val="clear" w:color="auto" w:fill="FFFFFF"/>
        </w:rPr>
        <w:t>动态管理。</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二、遴选条件</w:t>
      </w:r>
    </w:p>
    <w:p>
      <w:pPr>
        <w:widowControl/>
        <w:spacing w:line="360" w:lineRule="auto"/>
        <w:ind w:firstLine="640"/>
        <w:rPr>
          <w:rFonts w:asciiTheme="minorEastAsia" w:hAnsiTheme="minorEastAsia" w:eastAsiaTheme="minorEastAsia"/>
          <w:color w:val="auto"/>
          <w:kern w:val="0"/>
          <w:sz w:val="32"/>
          <w:szCs w:val="32"/>
          <w:shd w:val="clear" w:color="auto" w:fill="FFFFFF"/>
        </w:rPr>
      </w:pPr>
      <w:r>
        <w:rPr>
          <w:rFonts w:hint="eastAsia" w:asciiTheme="minorEastAsia" w:hAnsiTheme="minorEastAsia" w:eastAsiaTheme="minorEastAsia"/>
          <w:color w:val="auto"/>
          <w:kern w:val="0"/>
          <w:sz w:val="32"/>
          <w:szCs w:val="32"/>
          <w:shd w:val="clear" w:color="auto" w:fill="FFFFFF"/>
        </w:rPr>
        <w:t>参与遴选的承保机构应满足以下条件：</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1.符合《中华人民共和国保险法》《农业保险条例》等法律法规规定；</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2.有专门的农业保险管理部门，至少配备5名农业保险等相关专业人员，具有较强的核损理赔和风险管理能力；</w:t>
      </w:r>
    </w:p>
    <w:p>
      <w:pPr>
        <w:widowControl/>
        <w:spacing w:line="360" w:lineRule="auto"/>
        <w:ind w:firstLine="640"/>
        <w:rPr>
          <w:rFonts w:asciiTheme="minorEastAsia" w:hAnsiTheme="minorEastAsia" w:eastAsiaTheme="minorEastAsia"/>
          <w:color w:val="auto"/>
          <w:kern w:val="0"/>
          <w:sz w:val="32"/>
          <w:szCs w:val="32"/>
          <w:shd w:val="clear" w:color="auto" w:fill="FFFFFF"/>
        </w:rPr>
      </w:pPr>
      <w:r>
        <w:rPr>
          <w:rFonts w:hint="eastAsia" w:asciiTheme="minorEastAsia" w:hAnsiTheme="minorEastAsia" w:eastAsiaTheme="minorEastAsia"/>
          <w:color w:val="auto"/>
          <w:kern w:val="0"/>
          <w:sz w:val="32"/>
          <w:szCs w:val="32"/>
          <w:shd w:val="clear" w:color="auto" w:fill="FFFFFF"/>
        </w:rPr>
        <w:t>3.具有完善的农业保险大灾风险分散机制；</w:t>
      </w:r>
    </w:p>
    <w:p>
      <w:pPr>
        <w:widowControl/>
        <w:spacing w:line="360" w:lineRule="auto"/>
        <w:ind w:firstLine="640"/>
        <w:rPr>
          <w:rFonts w:asciiTheme="minorEastAsia" w:hAnsiTheme="minorEastAsia" w:eastAsiaTheme="minorEastAsia"/>
          <w:color w:val="auto"/>
          <w:kern w:val="0"/>
          <w:sz w:val="32"/>
          <w:szCs w:val="32"/>
          <w:shd w:val="clear" w:color="auto" w:fill="FFFFFF"/>
        </w:rPr>
      </w:pPr>
      <w:r>
        <w:rPr>
          <w:rFonts w:hint="eastAsia" w:asciiTheme="minorEastAsia" w:hAnsiTheme="minorEastAsia" w:eastAsiaTheme="minorEastAsia"/>
          <w:color w:val="auto"/>
          <w:kern w:val="0"/>
          <w:sz w:val="32"/>
          <w:szCs w:val="32"/>
          <w:shd w:val="clear" w:color="auto" w:fill="FFFFFF"/>
        </w:rPr>
        <w:t>4.具有完善的基层（乡镇级）服务网络及服务站点（村级）；</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5.信息化建设满足业务管理要求，能够按要求与中国农业再保险股份有限公司（以下简称“中国农再”）约定分保业务信息系统进行对接；能够按照相关要求与宁夏农业保险补贴与管理平台实现对接；</w:t>
      </w:r>
    </w:p>
    <w:p>
      <w:pPr>
        <w:widowControl/>
        <w:spacing w:line="360" w:lineRule="auto"/>
        <w:ind w:firstLine="640"/>
        <w:rPr>
          <w:rFonts w:asciiTheme="minorEastAsia" w:hAnsiTheme="minorEastAsia" w:eastAsiaTheme="minorEastAsia"/>
          <w:color w:val="auto"/>
          <w:kern w:val="0"/>
          <w:sz w:val="32"/>
          <w:szCs w:val="32"/>
          <w:shd w:val="clear" w:color="auto" w:fill="FFFFFF"/>
        </w:rPr>
      </w:pPr>
      <w:r>
        <w:rPr>
          <w:rFonts w:hint="eastAsia" w:asciiTheme="minorEastAsia" w:hAnsiTheme="minorEastAsia" w:eastAsiaTheme="minorEastAsia"/>
          <w:color w:val="auto"/>
          <w:kern w:val="0"/>
          <w:sz w:val="32"/>
          <w:szCs w:val="32"/>
          <w:shd w:val="clear" w:color="auto" w:fill="FFFFFF"/>
        </w:rPr>
        <w:t>6.承保机构总公司已与中国农再签署当期有效的《政策性农业保险再保险标准协议》，双方可协商对有关条款进行调整；</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7.具备完善的农业保险管理制度体系，内控管理良好，近3年内未因农业保险业务受到重大行政处罚；</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8.具有充足的偿付能力，综合偿付能力充足率应大于1.5倍，综合费用率应控制在20%以内；</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9.符合财政部和自治区规定的其他条件；</w:t>
      </w:r>
    </w:p>
    <w:p>
      <w:pPr>
        <w:spacing w:line="360" w:lineRule="auto"/>
        <w:ind w:firstLine="640" w:firstLineChars="200"/>
        <w:rPr>
          <w:rFonts w:asciiTheme="minorEastAsia" w:hAnsiTheme="minorEastAsia" w:eastAsiaTheme="minorEastAsia"/>
          <w:color w:val="auto"/>
          <w:kern w:val="0"/>
          <w:sz w:val="32"/>
          <w:szCs w:val="32"/>
          <w:shd w:val="clear" w:color="auto" w:fill="FFFFFF"/>
        </w:rPr>
      </w:pPr>
      <w:r>
        <w:rPr>
          <w:rFonts w:hint="eastAsia" w:asciiTheme="minorEastAsia" w:hAnsiTheme="minorEastAsia" w:eastAsiaTheme="minorEastAsia"/>
          <w:color w:val="auto"/>
          <w:kern w:val="0"/>
          <w:sz w:val="32"/>
          <w:szCs w:val="32"/>
          <w:shd w:val="clear" w:color="auto" w:fill="FFFFFF"/>
        </w:rPr>
        <w:t>10.本遴选事项不接受联合体遴选。</w:t>
      </w:r>
    </w:p>
    <w:p>
      <w:pPr>
        <w:pStyle w:val="38"/>
        <w:widowControl/>
        <w:spacing w:before="0" w:beforeAutospacing="0" w:after="0" w:afterAutospacing="0"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rPr>
        <w:t>三、遴选程序</w:t>
      </w:r>
    </w:p>
    <w:p>
      <w:pPr>
        <w:pStyle w:val="38"/>
        <w:widowControl/>
        <w:spacing w:before="0" w:beforeAutospacing="0" w:after="0" w:afterAutospacing="0" w:line="360" w:lineRule="auto"/>
        <w:ind w:firstLine="643" w:firstLineChars="200"/>
        <w:jc w:val="both"/>
        <w:rPr>
          <w:rFonts w:hint="eastAsia" w:asciiTheme="minorEastAsia" w:hAnsiTheme="minorEastAsia" w:eastAsiaTheme="minorEastAsia" w:cstheme="minorEastAsia"/>
          <w:color w:val="auto"/>
          <w:sz w:val="32"/>
          <w:szCs w:val="32"/>
          <w:shd w:val="clear" w:color="auto" w:fill="FFFFFF"/>
        </w:rPr>
      </w:pPr>
      <w:r>
        <w:rPr>
          <w:rFonts w:hint="eastAsia" w:asciiTheme="minorEastAsia" w:hAnsiTheme="minorEastAsia" w:eastAsiaTheme="minorEastAsia" w:cstheme="minorEastAsia"/>
          <w:b/>
          <w:color w:val="auto"/>
          <w:sz w:val="32"/>
          <w:szCs w:val="32"/>
          <w:shd w:val="clear" w:color="auto" w:fill="FFFFFF"/>
        </w:rPr>
        <w:t>（一）</w:t>
      </w:r>
      <w:r>
        <w:rPr>
          <w:rFonts w:hint="eastAsia" w:asciiTheme="minorEastAsia" w:hAnsiTheme="minorEastAsia" w:eastAsiaTheme="minorEastAsia" w:cstheme="minorEastAsia"/>
          <w:color w:val="auto"/>
          <w:sz w:val="32"/>
          <w:szCs w:val="32"/>
          <w:shd w:val="clear" w:color="auto" w:fill="FFFFFF"/>
          <w:lang w:val="en-US" w:eastAsia="zh-CN"/>
        </w:rPr>
        <w:t>海原县农业保险工作领导小组办公室通过海原县</w:t>
      </w:r>
      <w:r>
        <w:rPr>
          <w:rFonts w:hint="eastAsia" w:asciiTheme="minorEastAsia" w:hAnsiTheme="minorEastAsia" w:eastAsiaTheme="minorEastAsia" w:cstheme="minorEastAsia"/>
          <w:color w:val="auto"/>
          <w:sz w:val="32"/>
          <w:szCs w:val="32"/>
          <w:shd w:val="clear" w:color="auto" w:fill="FFFFFF"/>
        </w:rPr>
        <w:t>人民政府门户网站发布《遴选公告》。</w:t>
      </w:r>
    </w:p>
    <w:p>
      <w:pPr>
        <w:pStyle w:val="38"/>
        <w:widowControl/>
        <w:spacing w:before="0" w:beforeAutospacing="0" w:after="0" w:afterAutospacing="0" w:line="360" w:lineRule="auto"/>
        <w:ind w:firstLine="643" w:firstLineChars="200"/>
        <w:jc w:val="both"/>
        <w:rPr>
          <w:rFonts w:hint="eastAsia" w:asciiTheme="minorEastAsia" w:hAnsiTheme="minorEastAsia" w:eastAsiaTheme="minorEastAsia" w:cstheme="minorEastAsia"/>
          <w:color w:val="auto"/>
          <w:sz w:val="32"/>
          <w:szCs w:val="32"/>
          <w:shd w:val="clear" w:color="auto" w:fill="FFFFFF"/>
        </w:rPr>
      </w:pPr>
      <w:r>
        <w:rPr>
          <w:rFonts w:hint="eastAsia" w:asciiTheme="minorEastAsia" w:hAnsiTheme="minorEastAsia" w:eastAsiaTheme="minorEastAsia" w:cstheme="minorEastAsia"/>
          <w:b/>
          <w:color w:val="auto"/>
          <w:sz w:val="32"/>
          <w:szCs w:val="32"/>
          <w:shd w:val="clear" w:color="auto" w:fill="FFFFFF"/>
        </w:rPr>
        <w:t>（二）</w:t>
      </w:r>
      <w:r>
        <w:rPr>
          <w:rFonts w:hint="eastAsia" w:asciiTheme="minorEastAsia" w:hAnsiTheme="minorEastAsia" w:eastAsiaTheme="minorEastAsia" w:cstheme="minorEastAsia"/>
          <w:color w:val="auto"/>
          <w:sz w:val="32"/>
          <w:szCs w:val="32"/>
          <w:shd w:val="clear" w:color="auto" w:fill="FFFFFF"/>
        </w:rPr>
        <w:t>相关保险</w:t>
      </w:r>
      <w:r>
        <w:rPr>
          <w:rFonts w:hint="eastAsia" w:asciiTheme="minorEastAsia" w:hAnsiTheme="minorEastAsia" w:eastAsiaTheme="minorEastAsia" w:cstheme="minorEastAsia"/>
          <w:color w:val="auto"/>
          <w:sz w:val="32"/>
          <w:szCs w:val="32"/>
          <w:shd w:val="clear" w:color="auto" w:fill="FFFFFF"/>
          <w:lang w:val="en-US" w:eastAsia="zh-CN"/>
        </w:rPr>
        <w:t>机构</w:t>
      </w:r>
      <w:r>
        <w:rPr>
          <w:rFonts w:hint="eastAsia" w:asciiTheme="minorEastAsia" w:hAnsiTheme="minorEastAsia" w:eastAsiaTheme="minorEastAsia" w:cstheme="minorEastAsia"/>
          <w:color w:val="auto"/>
          <w:sz w:val="32"/>
          <w:szCs w:val="32"/>
          <w:shd w:val="clear" w:color="auto" w:fill="FFFFFF"/>
        </w:rPr>
        <w:t>依据公告要求，向</w:t>
      </w:r>
      <w:r>
        <w:rPr>
          <w:rFonts w:hint="eastAsia" w:asciiTheme="minorEastAsia" w:hAnsiTheme="minorEastAsia" w:eastAsiaTheme="minorEastAsia" w:cstheme="minorEastAsia"/>
          <w:color w:val="auto"/>
          <w:sz w:val="32"/>
          <w:szCs w:val="32"/>
          <w:shd w:val="clear" w:color="auto" w:fill="FFFFFF"/>
          <w:lang w:val="en-US" w:eastAsia="zh-CN"/>
        </w:rPr>
        <w:t>第三方代理机构</w:t>
      </w:r>
      <w:r>
        <w:rPr>
          <w:rFonts w:hint="eastAsia" w:asciiTheme="minorEastAsia" w:hAnsiTheme="minorEastAsia" w:eastAsiaTheme="minorEastAsia" w:cstheme="minorEastAsia"/>
          <w:color w:val="auto"/>
          <w:sz w:val="32"/>
          <w:szCs w:val="32"/>
          <w:shd w:val="clear" w:color="auto" w:fill="FFFFFF"/>
        </w:rPr>
        <w:t>报名并递交相关材料。</w:t>
      </w:r>
    </w:p>
    <w:p>
      <w:pPr>
        <w:pStyle w:val="38"/>
        <w:widowControl/>
        <w:spacing w:before="0" w:beforeAutospacing="0" w:after="0" w:afterAutospacing="0" w:line="360" w:lineRule="auto"/>
        <w:ind w:firstLine="643" w:firstLineChars="200"/>
        <w:jc w:val="both"/>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shd w:val="clear" w:color="auto" w:fill="FFFFFF"/>
        </w:rPr>
        <w:t>（一）</w:t>
      </w:r>
      <w:r>
        <w:rPr>
          <w:rFonts w:hint="eastAsia" w:asciiTheme="minorEastAsia" w:hAnsiTheme="minorEastAsia" w:eastAsiaTheme="minorEastAsia" w:cstheme="minorEastAsia"/>
          <w:color w:val="auto"/>
          <w:sz w:val="32"/>
          <w:szCs w:val="32"/>
          <w:shd w:val="clear" w:color="auto" w:fill="FFFFFF"/>
        </w:rPr>
        <w:t>召开遴选评审会议对符合资格条件的保险公司进行评审，</w:t>
      </w:r>
      <w:r>
        <w:rPr>
          <w:rFonts w:hint="eastAsia" w:asciiTheme="minorEastAsia" w:hAnsiTheme="minorEastAsia" w:eastAsiaTheme="minorEastAsia" w:cstheme="minorEastAsia"/>
          <w:color w:val="auto"/>
          <w:sz w:val="32"/>
          <w:szCs w:val="32"/>
        </w:rPr>
        <w:t>根据</w:t>
      </w:r>
      <w:r>
        <w:rPr>
          <w:rFonts w:hint="eastAsia" w:asciiTheme="minorEastAsia" w:hAnsiTheme="minorEastAsia" w:eastAsiaTheme="minorEastAsia" w:cstheme="minorEastAsia"/>
          <w:color w:val="auto"/>
          <w:sz w:val="32"/>
          <w:szCs w:val="32"/>
          <w:lang w:val="en-US" w:eastAsia="zh-CN"/>
        </w:rPr>
        <w:t>评分得分</w:t>
      </w:r>
      <w:r>
        <w:rPr>
          <w:rFonts w:hint="eastAsia" w:asciiTheme="minorEastAsia" w:hAnsiTheme="minorEastAsia" w:eastAsiaTheme="minorEastAsia" w:cstheme="minorEastAsia"/>
          <w:color w:val="auto"/>
          <w:sz w:val="32"/>
          <w:szCs w:val="32"/>
        </w:rPr>
        <w:t>排名</w:t>
      </w:r>
      <w:r>
        <w:rPr>
          <w:rFonts w:hint="eastAsia" w:asciiTheme="minorEastAsia" w:hAnsiTheme="minorEastAsia" w:eastAsiaTheme="minorEastAsia" w:cstheme="minorEastAsia"/>
          <w:color w:val="auto"/>
          <w:sz w:val="32"/>
          <w:szCs w:val="32"/>
          <w:lang w:val="en-US" w:eastAsia="zh-CN"/>
        </w:rPr>
        <w:t>高低</w:t>
      </w:r>
      <w:r>
        <w:rPr>
          <w:rFonts w:hint="eastAsia" w:asciiTheme="minorEastAsia" w:hAnsiTheme="minorEastAsia" w:eastAsiaTheme="minorEastAsia" w:cstheme="minorEastAsia"/>
          <w:color w:val="auto"/>
          <w:sz w:val="32"/>
          <w:szCs w:val="32"/>
        </w:rPr>
        <w:t>顺序确定优先选择权</w:t>
      </w:r>
      <w:r>
        <w:rPr>
          <w:rFonts w:hint="eastAsia" w:asciiTheme="minorEastAsia" w:hAnsiTheme="minorEastAsia" w:eastAsiaTheme="minorEastAsia" w:cstheme="minorEastAsia"/>
          <w:color w:val="auto"/>
          <w:sz w:val="32"/>
          <w:szCs w:val="32"/>
          <w:shd w:val="clear" w:color="auto" w:fill="FFFFFF"/>
        </w:rPr>
        <w:t>。</w:t>
      </w:r>
    </w:p>
    <w:p>
      <w:pPr>
        <w:pStyle w:val="38"/>
        <w:widowControl/>
        <w:spacing w:before="0" w:beforeAutospacing="0" w:after="0" w:afterAutospacing="0" w:line="360" w:lineRule="auto"/>
        <w:ind w:firstLine="643" w:firstLineChars="200"/>
        <w:jc w:val="both"/>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shd w:val="clear" w:color="auto" w:fill="FFFFFF"/>
        </w:rPr>
        <w:t>（二）</w:t>
      </w:r>
      <w:r>
        <w:rPr>
          <w:rFonts w:hint="eastAsia" w:asciiTheme="minorEastAsia" w:hAnsiTheme="minorEastAsia" w:eastAsiaTheme="minorEastAsia" w:cstheme="minorEastAsia"/>
          <w:color w:val="auto"/>
          <w:sz w:val="32"/>
          <w:szCs w:val="32"/>
          <w:shd w:val="clear" w:color="auto" w:fill="FFFFFF"/>
        </w:rPr>
        <w:t>遴选评审结束后，</w:t>
      </w:r>
      <w:r>
        <w:rPr>
          <w:rFonts w:hint="eastAsia" w:asciiTheme="minorEastAsia" w:hAnsiTheme="minorEastAsia" w:eastAsiaTheme="minorEastAsia" w:cstheme="minorEastAsia"/>
          <w:color w:val="auto"/>
          <w:sz w:val="32"/>
          <w:szCs w:val="32"/>
          <w:shd w:val="clear" w:color="auto" w:fill="FFFFFF"/>
          <w:lang w:val="en-US" w:eastAsia="zh-CN"/>
        </w:rPr>
        <w:t>遴选组织机构</w:t>
      </w:r>
      <w:r>
        <w:rPr>
          <w:rFonts w:hint="eastAsia" w:asciiTheme="minorEastAsia" w:hAnsiTheme="minorEastAsia" w:eastAsiaTheme="minorEastAsia" w:cstheme="minorEastAsia"/>
          <w:color w:val="auto"/>
          <w:sz w:val="32"/>
          <w:szCs w:val="32"/>
          <w:shd w:val="clear" w:color="auto" w:fill="FFFFFF"/>
        </w:rPr>
        <w:t>通过海原县人民政府门户网站公示遴选结果，公示期为</w:t>
      </w:r>
      <w:r>
        <w:rPr>
          <w:rFonts w:hint="eastAsia" w:asciiTheme="minorEastAsia" w:hAnsiTheme="minorEastAsia" w:eastAsiaTheme="minorEastAsia" w:cstheme="minorEastAsia"/>
          <w:color w:val="auto"/>
          <w:sz w:val="32"/>
          <w:szCs w:val="32"/>
          <w:shd w:val="clear" w:color="auto" w:fill="FFFFFF"/>
          <w:lang w:val="en-US" w:eastAsia="zh-CN"/>
        </w:rPr>
        <w:t>1</w:t>
      </w:r>
      <w:r>
        <w:rPr>
          <w:rFonts w:hint="eastAsia" w:asciiTheme="minorEastAsia" w:hAnsiTheme="minorEastAsia" w:eastAsiaTheme="minorEastAsia" w:cstheme="minorEastAsia"/>
          <w:color w:val="auto"/>
          <w:sz w:val="32"/>
          <w:szCs w:val="32"/>
          <w:shd w:val="clear" w:color="auto" w:fill="FFFFFF"/>
        </w:rPr>
        <w:t>个工作日</w:t>
      </w:r>
      <w:r>
        <w:rPr>
          <w:rFonts w:hint="eastAsia" w:asciiTheme="minorEastAsia" w:hAnsiTheme="minorEastAsia" w:eastAsiaTheme="minorEastAsia" w:cstheme="minorEastAsia"/>
          <w:color w:val="auto"/>
          <w:sz w:val="32"/>
          <w:szCs w:val="32"/>
          <w:shd w:val="clear" w:color="auto" w:fill="FFFFFF"/>
          <w:lang w:eastAsia="zh-CN"/>
        </w:rPr>
        <w:t>，</w:t>
      </w:r>
      <w:r>
        <w:rPr>
          <w:rFonts w:hint="eastAsia" w:asciiTheme="minorEastAsia" w:hAnsiTheme="minorEastAsia" w:eastAsiaTheme="minorEastAsia" w:cstheme="minorEastAsia"/>
          <w:color w:val="auto"/>
          <w:sz w:val="32"/>
          <w:szCs w:val="32"/>
          <w:shd w:val="clear" w:color="auto" w:fill="FFFFFF"/>
        </w:rPr>
        <w:t>经公示无异议后予以公布</w:t>
      </w:r>
      <w:r>
        <w:rPr>
          <w:rFonts w:hint="eastAsia" w:asciiTheme="minorEastAsia" w:hAnsiTheme="minorEastAsia" w:eastAsiaTheme="minorEastAsia" w:cstheme="minorEastAsia"/>
          <w:color w:val="auto"/>
          <w:sz w:val="32"/>
          <w:szCs w:val="32"/>
          <w:shd w:val="clear" w:color="auto" w:fill="FFFFFF"/>
          <w:lang w:eastAsia="zh-CN"/>
        </w:rPr>
        <w:t>，</w:t>
      </w:r>
      <w:r>
        <w:rPr>
          <w:rFonts w:hint="eastAsia" w:asciiTheme="minorEastAsia" w:hAnsiTheme="minorEastAsia" w:eastAsiaTheme="minorEastAsia" w:cstheme="minorEastAsia"/>
          <w:color w:val="auto"/>
          <w:sz w:val="32"/>
          <w:szCs w:val="32"/>
          <w:shd w:val="clear" w:color="auto" w:fill="FFFFFF"/>
        </w:rPr>
        <w:t>发出中选通知书。</w:t>
      </w:r>
    </w:p>
    <w:p>
      <w:pPr>
        <w:pStyle w:val="38"/>
        <w:widowControl/>
        <w:spacing w:before="0" w:beforeAutospacing="0" w:after="0" w:afterAutospacing="0" w:line="360" w:lineRule="auto"/>
        <w:ind w:firstLine="640" w:firstLineChars="200"/>
        <w:jc w:val="both"/>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四、时间安排及提交材料</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asciiTheme="minorEastAsia" w:hAnsiTheme="minorEastAsia" w:eastAsiaTheme="minorEastAsia"/>
          <w:color w:val="auto"/>
          <w:sz w:val="32"/>
          <w:szCs w:val="32"/>
          <w:shd w:val="clear" w:color="auto" w:fill="FFFFFF"/>
        </w:rPr>
        <w:t>拟参加遴选的保险机构，请</w:t>
      </w:r>
      <w:r>
        <w:rPr>
          <w:rFonts w:hint="eastAsia" w:asciiTheme="minorEastAsia" w:hAnsiTheme="minorEastAsia" w:eastAsiaTheme="minorEastAsia"/>
          <w:color w:val="auto"/>
          <w:sz w:val="32"/>
          <w:szCs w:val="32"/>
          <w:shd w:val="clear" w:color="auto" w:fill="FFFFFF"/>
        </w:rPr>
        <w:t>于2021年12月30日上午10:00时前将参选文件</w:t>
      </w:r>
      <w:r>
        <w:rPr>
          <w:rFonts w:asciiTheme="minorEastAsia" w:hAnsiTheme="minorEastAsia" w:eastAsiaTheme="minorEastAsia"/>
          <w:color w:val="auto"/>
          <w:sz w:val="32"/>
          <w:szCs w:val="32"/>
          <w:shd w:val="clear" w:color="auto" w:fill="FFFFFF"/>
        </w:rPr>
        <w:t>（参照附件</w:t>
      </w:r>
      <w:r>
        <w:rPr>
          <w:rFonts w:hint="eastAsia" w:asciiTheme="minorEastAsia" w:hAnsiTheme="minorEastAsia" w:eastAsiaTheme="minorEastAsia"/>
          <w:color w:val="auto"/>
          <w:sz w:val="32"/>
          <w:szCs w:val="32"/>
          <w:shd w:val="clear" w:color="auto" w:fill="FFFFFF"/>
        </w:rPr>
        <w:t>1</w:t>
      </w:r>
      <w:r>
        <w:rPr>
          <w:rFonts w:asciiTheme="minorEastAsia" w:hAnsiTheme="minorEastAsia" w:eastAsiaTheme="minorEastAsia"/>
          <w:color w:val="auto"/>
          <w:sz w:val="32"/>
          <w:szCs w:val="32"/>
        </w:rPr>
        <w:t>《海原县政策性农业保险承保机构遴选</w:t>
      </w:r>
      <w:r>
        <w:rPr>
          <w:rFonts w:hint="eastAsia" w:asciiTheme="minorEastAsia" w:hAnsiTheme="minorEastAsia" w:eastAsiaTheme="minorEastAsia"/>
          <w:color w:val="auto"/>
          <w:sz w:val="32"/>
          <w:szCs w:val="32"/>
        </w:rPr>
        <w:t>文件</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内容</w:t>
      </w:r>
      <w:r>
        <w:rPr>
          <w:rFonts w:asciiTheme="minorEastAsia" w:hAnsiTheme="minorEastAsia" w:eastAsiaTheme="minorEastAsia"/>
          <w:color w:val="auto"/>
          <w:sz w:val="32"/>
          <w:szCs w:val="32"/>
          <w:shd w:val="clear" w:color="auto" w:fill="FFFFFF"/>
        </w:rPr>
        <w:t>）一式柒份送至</w:t>
      </w:r>
      <w:r>
        <w:rPr>
          <w:rFonts w:hint="eastAsia" w:asciiTheme="minorEastAsia" w:hAnsiTheme="minorEastAsia" w:eastAsiaTheme="minorEastAsia"/>
          <w:color w:val="auto"/>
          <w:sz w:val="32"/>
          <w:szCs w:val="32"/>
          <w:shd w:val="clear" w:color="auto" w:fill="FFFFFF"/>
        </w:rPr>
        <w:t>中世E招公共资源交易平台银川分平台（银川市金凤区新昌西路金钻名座20层）参加遴选。</w:t>
      </w:r>
    </w:p>
    <w:p>
      <w:pPr>
        <w:pStyle w:val="38"/>
        <w:widowControl/>
        <w:spacing w:before="0" w:beforeAutospacing="0" w:after="0" w:afterAutospacing="0" w:line="360" w:lineRule="auto"/>
        <w:ind w:firstLine="640" w:firstLineChars="200"/>
        <w:jc w:val="both"/>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五、遴选公告期限</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自海原县人民政府门户网站发布起公告之日起3个工作日</w:t>
      </w:r>
    </w:p>
    <w:p>
      <w:pPr>
        <w:pStyle w:val="38"/>
        <w:widowControl/>
        <w:spacing w:before="0" w:beforeAutospacing="0" w:after="0" w:afterAutospacing="0" w:line="360" w:lineRule="auto"/>
        <w:ind w:firstLine="640" w:firstLineChars="200"/>
        <w:jc w:val="both"/>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六、其他事项</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shd w:val="clear" w:color="auto" w:fill="FFFFFF"/>
        </w:rPr>
        <w:t>1、遴选条件和遴选规则详见附件1</w:t>
      </w:r>
      <w:r>
        <w:rPr>
          <w:rFonts w:asciiTheme="minorEastAsia" w:hAnsiTheme="minorEastAsia" w:eastAsiaTheme="minorEastAsia"/>
          <w:color w:val="auto"/>
          <w:sz w:val="32"/>
          <w:szCs w:val="32"/>
        </w:rPr>
        <w:t>《海原县政策性农业保险承保机构遴选文件》</w:t>
      </w:r>
      <w:r>
        <w:rPr>
          <w:rFonts w:asciiTheme="minorEastAsia" w:hAnsiTheme="minorEastAsia" w:eastAsiaTheme="minorEastAsia"/>
          <w:color w:val="auto"/>
          <w:sz w:val="32"/>
          <w:szCs w:val="32"/>
          <w:shd w:val="clear" w:color="auto" w:fill="FFFFFF"/>
        </w:rPr>
        <w:t>。</w:t>
      </w:r>
    </w:p>
    <w:p>
      <w:pPr>
        <w:pStyle w:val="38"/>
        <w:widowControl/>
        <w:spacing w:before="0" w:beforeAutospacing="0" w:after="0" w:afterAutospacing="0" w:line="360" w:lineRule="auto"/>
        <w:ind w:firstLine="640" w:firstLineChars="200"/>
        <w:jc w:val="both"/>
        <w:rPr>
          <w:rFonts w:hint="eastAsia"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lang w:val="en-US" w:eastAsia="zh-CN"/>
        </w:rPr>
        <w:t>2.</w:t>
      </w:r>
      <w:r>
        <w:rPr>
          <w:rFonts w:hint="eastAsia" w:asciiTheme="minorEastAsia" w:hAnsiTheme="minorEastAsia" w:eastAsiaTheme="minorEastAsia"/>
          <w:color w:val="auto"/>
          <w:sz w:val="32"/>
          <w:szCs w:val="32"/>
          <w:shd w:val="clear" w:color="auto" w:fill="FFFFFF"/>
        </w:rPr>
        <w:t>联系方式</w:t>
      </w:r>
    </w:p>
    <w:p>
      <w:pPr>
        <w:pStyle w:val="38"/>
        <w:widowControl/>
        <w:spacing w:before="0" w:beforeAutospacing="0" w:after="0" w:afterAutospacing="0" w:line="360" w:lineRule="auto"/>
        <w:ind w:firstLine="640" w:firstLineChars="200"/>
        <w:jc w:val="both"/>
        <w:rPr>
          <w:rFonts w:hint="eastAsia" w:asciiTheme="minorEastAsia" w:hAnsiTheme="minorEastAsia" w:eastAsiaTheme="minorEastAsia"/>
          <w:color w:val="auto"/>
          <w:sz w:val="32"/>
          <w:szCs w:val="32"/>
          <w:shd w:val="clear" w:color="auto" w:fill="FFFFFF"/>
          <w:lang w:val="en-US" w:eastAsia="zh-CN"/>
        </w:rPr>
      </w:pPr>
      <w:r>
        <w:rPr>
          <w:rFonts w:hint="eastAsia" w:asciiTheme="minorEastAsia" w:hAnsiTheme="minorEastAsia" w:eastAsiaTheme="minorEastAsia"/>
          <w:color w:val="auto"/>
          <w:sz w:val="32"/>
          <w:szCs w:val="32"/>
          <w:shd w:val="clear" w:color="auto" w:fill="FFFFFF"/>
        </w:rPr>
        <w:t>遴选人：海原县</w:t>
      </w:r>
      <w:r>
        <w:rPr>
          <w:rFonts w:asciiTheme="minorEastAsia" w:hAnsiTheme="minorEastAsia" w:eastAsiaTheme="minorEastAsia"/>
          <w:color w:val="auto"/>
          <w:sz w:val="32"/>
          <w:szCs w:val="32"/>
        </w:rPr>
        <w:t>农业保险</w:t>
      </w:r>
      <w:r>
        <w:rPr>
          <w:rFonts w:hint="eastAsia" w:asciiTheme="minorEastAsia" w:hAnsiTheme="minorEastAsia" w:eastAsiaTheme="minorEastAsia"/>
          <w:color w:val="auto"/>
          <w:sz w:val="32"/>
          <w:szCs w:val="32"/>
          <w:lang w:val="en-US" w:eastAsia="zh-CN"/>
        </w:rPr>
        <w:t>工作</w:t>
      </w:r>
      <w:r>
        <w:rPr>
          <w:rFonts w:hint="eastAsia" w:asciiTheme="minorEastAsia" w:hAnsiTheme="minorEastAsia" w:eastAsiaTheme="minorEastAsia"/>
          <w:color w:val="auto"/>
          <w:sz w:val="32"/>
          <w:szCs w:val="32"/>
          <w:shd w:val="clear" w:color="auto" w:fill="FFFFFF"/>
          <w:lang w:val="en-US" w:eastAsia="zh-CN"/>
        </w:rPr>
        <w:t>领导小组办公室</w:t>
      </w:r>
    </w:p>
    <w:p>
      <w:pPr>
        <w:pStyle w:val="38"/>
        <w:widowControl/>
        <w:spacing w:before="0" w:beforeAutospacing="0" w:after="0" w:afterAutospacing="0" w:line="360" w:lineRule="auto"/>
        <w:ind w:firstLine="640" w:firstLineChars="200"/>
        <w:jc w:val="both"/>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地  址：海原县建设路财政局</w:t>
      </w:r>
      <w:r>
        <w:rPr>
          <w:rFonts w:hint="eastAsia" w:asciiTheme="minorEastAsia" w:hAnsiTheme="minorEastAsia" w:eastAsiaTheme="minorEastAsia"/>
          <w:color w:val="auto"/>
          <w:sz w:val="32"/>
          <w:szCs w:val="32"/>
          <w:shd w:val="clear" w:color="auto" w:fill="FFFFFF"/>
          <w:lang w:val="en-US" w:eastAsia="zh-CN"/>
        </w:rPr>
        <w:t>院内</w:t>
      </w:r>
      <w:r>
        <w:rPr>
          <w:rFonts w:hint="eastAsia" w:asciiTheme="minorEastAsia" w:hAnsiTheme="minorEastAsia" w:eastAsiaTheme="minorEastAsia"/>
          <w:color w:val="auto"/>
          <w:sz w:val="32"/>
          <w:szCs w:val="32"/>
          <w:shd w:val="clear" w:color="auto" w:fill="FFFFFF"/>
        </w:rPr>
        <w:t xml:space="preserve"> </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联系人：马贵成</w:t>
      </w:r>
      <w:r>
        <w:rPr>
          <w:rFonts w:hint="eastAsia" w:asciiTheme="minorEastAsia" w:hAnsiTheme="minorEastAsia" w:eastAsiaTheme="minorEastAsia"/>
          <w:color w:val="auto"/>
          <w:sz w:val="32"/>
          <w:szCs w:val="32"/>
          <w:shd w:val="clear" w:color="auto" w:fill="FFFFFF"/>
          <w:lang w:val="en-US" w:eastAsia="zh-CN"/>
        </w:rPr>
        <w:t xml:space="preserve">            </w:t>
      </w:r>
      <w:r>
        <w:rPr>
          <w:rFonts w:hint="eastAsia" w:asciiTheme="minorEastAsia" w:hAnsiTheme="minorEastAsia" w:eastAsiaTheme="minorEastAsia"/>
          <w:color w:val="auto"/>
          <w:sz w:val="32"/>
          <w:szCs w:val="32"/>
          <w:shd w:val="clear" w:color="auto" w:fill="FFFFFF"/>
        </w:rPr>
        <w:t>电  话：15378946030</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hint="eastAsia" w:asciiTheme="minorEastAsia" w:hAnsiTheme="minorEastAsia" w:eastAsiaTheme="minorEastAsia"/>
          <w:color w:val="auto"/>
          <w:sz w:val="32"/>
          <w:szCs w:val="32"/>
          <w:shd w:val="clear" w:color="auto" w:fill="FFFFFF"/>
        </w:rPr>
      </w:pP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遴选代理机构：泉园（宁夏）项目管理有限公司</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地址：银川市金凤区贺兰山中路500号清水湾二期18号商业房</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asciiTheme="minorEastAsia" w:hAnsiTheme="minorEastAsia" w:eastAsiaTheme="minorEastAsia"/>
          <w:color w:val="auto"/>
          <w:sz w:val="32"/>
          <w:szCs w:val="32"/>
          <w:shd w:val="clear" w:color="auto" w:fill="FFFFFF"/>
        </w:rPr>
      </w:pPr>
      <w:r>
        <w:rPr>
          <w:rFonts w:hint="eastAsia" w:asciiTheme="minorEastAsia" w:hAnsiTheme="minorEastAsia" w:eastAsiaTheme="minorEastAsia"/>
          <w:color w:val="auto"/>
          <w:sz w:val="32"/>
          <w:szCs w:val="32"/>
          <w:shd w:val="clear" w:color="auto" w:fill="FFFFFF"/>
        </w:rPr>
        <w:t>联系人：李 霞  </w:t>
      </w:r>
      <w:r>
        <w:rPr>
          <w:rFonts w:hint="eastAsia" w:asciiTheme="minorEastAsia" w:hAnsiTheme="minorEastAsia" w:eastAsiaTheme="minorEastAsia"/>
          <w:color w:val="auto"/>
          <w:sz w:val="32"/>
          <w:szCs w:val="32"/>
          <w:shd w:val="clear" w:color="auto" w:fill="FFFFFF"/>
          <w:lang w:val="en-US" w:eastAsia="zh-CN"/>
        </w:rPr>
        <w:t xml:space="preserve">          </w:t>
      </w:r>
      <w:r>
        <w:rPr>
          <w:rFonts w:hint="eastAsia" w:asciiTheme="minorEastAsia" w:hAnsiTheme="minorEastAsia" w:eastAsiaTheme="minorEastAsia"/>
          <w:color w:val="auto"/>
          <w:sz w:val="32"/>
          <w:szCs w:val="32"/>
          <w:shd w:val="clear" w:color="auto" w:fill="FFFFFF"/>
        </w:rPr>
        <w:t>电  话：0951-8520586</w:t>
      </w:r>
      <w:r>
        <w:rPr>
          <w:rFonts w:asciiTheme="minorEastAsia" w:hAnsiTheme="minorEastAsia" w:eastAsiaTheme="minorEastAsia"/>
          <w:color w:val="auto"/>
          <w:sz w:val="32"/>
          <w:szCs w:val="32"/>
          <w:shd w:val="clear" w:color="auto" w:fill="FFFFFF"/>
        </w:rPr>
        <w:t xml:space="preserve"> </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asciiTheme="minorEastAsia" w:hAnsiTheme="minorEastAsia" w:eastAsiaTheme="minorEastAsia"/>
          <w:color w:val="auto"/>
          <w:sz w:val="32"/>
          <w:szCs w:val="32"/>
          <w:shd w:val="clear" w:color="auto" w:fill="FFFFFF"/>
        </w:rPr>
      </w:pP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asciiTheme="minorEastAsia" w:hAnsiTheme="minorEastAsia" w:eastAsiaTheme="minorEastAsia"/>
          <w:color w:val="auto"/>
          <w:sz w:val="32"/>
          <w:szCs w:val="32"/>
          <w:shd w:val="clear" w:color="auto" w:fill="FFFFFF"/>
        </w:rPr>
      </w:pP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textAlignment w:val="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shd w:val="clear" w:color="auto" w:fill="FFFFFF"/>
        </w:rPr>
        <w:t>附件：1.</w:t>
      </w:r>
      <w:r>
        <w:rPr>
          <w:rFonts w:asciiTheme="minorEastAsia" w:hAnsiTheme="minorEastAsia" w:eastAsiaTheme="minorEastAsia"/>
          <w:color w:val="auto"/>
          <w:sz w:val="32"/>
          <w:szCs w:val="32"/>
        </w:rPr>
        <w:t>海原县政策性农业保险承保机构遴选文件</w:t>
      </w:r>
      <w:r>
        <w:rPr>
          <w:rFonts w:hint="eastAsia" w:asciiTheme="minorEastAsia" w:hAnsiTheme="minorEastAsia" w:eastAsiaTheme="minorEastAsia"/>
          <w:color w:val="auto"/>
          <w:sz w:val="32"/>
          <w:szCs w:val="32"/>
        </w:rPr>
        <w:t>；</w:t>
      </w:r>
    </w:p>
    <w:p>
      <w:pPr>
        <w:pStyle w:val="38"/>
        <w:widowControl/>
        <w:spacing w:before="0" w:beforeAutospacing="0" w:after="0" w:afterAutospacing="0" w:line="360" w:lineRule="auto"/>
        <w:ind w:left="1268" w:leftChars="604" w:firstLine="320" w:firstLineChars="1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w:t>
      </w:r>
      <w:r>
        <w:rPr>
          <w:rFonts w:hint="eastAsia" w:cs="宋体" w:asciiTheme="minorEastAsia" w:hAnsiTheme="minorEastAsia" w:eastAsiaTheme="minorEastAsia"/>
          <w:color w:val="auto"/>
          <w:sz w:val="32"/>
          <w:szCs w:val="32"/>
        </w:rPr>
        <w:t>海原县</w:t>
      </w:r>
      <w:r>
        <w:rPr>
          <w:rFonts w:asciiTheme="minorEastAsia" w:hAnsiTheme="minorEastAsia" w:eastAsiaTheme="minorEastAsia"/>
          <w:color w:val="auto"/>
          <w:sz w:val="32"/>
          <w:szCs w:val="32"/>
        </w:rPr>
        <w:t>政策性农业保险机构名单</w:t>
      </w:r>
      <w:r>
        <w:rPr>
          <w:rFonts w:hint="eastAsia" w:asciiTheme="minorEastAsia" w:hAnsiTheme="minorEastAsia" w:eastAsiaTheme="minorEastAsia"/>
          <w:color w:val="auto"/>
          <w:sz w:val="32"/>
          <w:szCs w:val="32"/>
        </w:rPr>
        <w:t>。</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jc w:val="both"/>
        <w:textAlignment w:val="auto"/>
        <w:rPr>
          <w:rFonts w:asciiTheme="minorEastAsia" w:hAnsiTheme="minorEastAsia" w:eastAsiaTheme="minorEastAsia"/>
          <w:color w:val="auto"/>
          <w:sz w:val="32"/>
          <w:szCs w:val="32"/>
          <w:shd w:val="clear" w:color="auto" w:fill="FFFFFF"/>
        </w:rPr>
      </w:pP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jc w:val="both"/>
        <w:textAlignment w:val="auto"/>
        <w:rPr>
          <w:rFonts w:asciiTheme="minorEastAsia" w:hAnsiTheme="minorEastAsia" w:eastAsiaTheme="minorEastAsia"/>
          <w:color w:val="auto"/>
          <w:sz w:val="32"/>
          <w:szCs w:val="32"/>
          <w:shd w:val="clear" w:color="auto" w:fill="FFFFFF"/>
        </w:rPr>
      </w:pP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1598" w:leftChars="304" w:hanging="960" w:hangingChars="300"/>
        <w:jc w:val="both"/>
        <w:textAlignment w:val="auto"/>
        <w:rPr>
          <w:rFonts w:asciiTheme="minorEastAsia" w:hAnsiTheme="minorEastAsia" w:eastAsiaTheme="minorEastAsia"/>
          <w:color w:val="auto"/>
          <w:sz w:val="32"/>
          <w:szCs w:val="32"/>
          <w:shd w:val="clear" w:color="auto" w:fill="FFFFFF"/>
        </w:rPr>
      </w:pPr>
      <w:r>
        <w:rPr>
          <w:rFonts w:asciiTheme="minorEastAsia" w:hAnsiTheme="minorEastAsia" w:eastAsiaTheme="minorEastAsia"/>
          <w:color w:val="auto"/>
          <w:sz w:val="32"/>
          <w:szCs w:val="32"/>
          <w:shd w:val="clear" w:color="auto" w:fill="FFFFFF"/>
        </w:rPr>
        <w:t xml:space="preserve">                        </w:t>
      </w:r>
    </w:p>
    <w:p>
      <w:pPr>
        <w:pStyle w:val="38"/>
        <w:widowControl/>
        <w:spacing w:before="0" w:beforeAutospacing="0" w:after="0" w:afterAutospacing="0" w:line="360" w:lineRule="auto"/>
        <w:ind w:left="0" w:leftChars="0" w:firstLine="3360" w:firstLineChars="1050"/>
        <w:jc w:val="both"/>
        <w:rPr>
          <w:rFonts w:hint="default" w:asciiTheme="minorEastAsia" w:hAnsiTheme="minorEastAsia" w:eastAsiaTheme="minorEastAsia"/>
          <w:color w:val="auto"/>
          <w:sz w:val="32"/>
          <w:szCs w:val="32"/>
          <w:shd w:val="clear" w:color="auto" w:fill="FFFFFF"/>
          <w:lang w:val="en-US" w:eastAsia="zh-CN"/>
        </w:rPr>
      </w:pPr>
      <w:r>
        <w:rPr>
          <w:rFonts w:hint="eastAsia" w:asciiTheme="minorEastAsia" w:hAnsiTheme="minorEastAsia" w:eastAsiaTheme="minorEastAsia"/>
          <w:color w:val="auto"/>
          <w:sz w:val="32"/>
          <w:szCs w:val="32"/>
          <w:shd w:val="clear" w:color="auto" w:fill="FFFFFF"/>
        </w:rPr>
        <w:t>海原县</w:t>
      </w:r>
      <w:r>
        <w:rPr>
          <w:rFonts w:asciiTheme="minorEastAsia" w:hAnsiTheme="minorEastAsia" w:eastAsiaTheme="minorEastAsia"/>
          <w:color w:val="auto"/>
          <w:sz w:val="32"/>
          <w:szCs w:val="32"/>
        </w:rPr>
        <w:t>农业保险</w:t>
      </w:r>
      <w:r>
        <w:rPr>
          <w:rFonts w:hint="eastAsia" w:asciiTheme="minorEastAsia" w:hAnsiTheme="minorEastAsia" w:eastAsiaTheme="minorEastAsia"/>
          <w:color w:val="auto"/>
          <w:sz w:val="32"/>
          <w:szCs w:val="32"/>
          <w:lang w:val="en-US" w:eastAsia="zh-CN"/>
        </w:rPr>
        <w:t>工作</w:t>
      </w:r>
      <w:r>
        <w:rPr>
          <w:rFonts w:hint="eastAsia" w:asciiTheme="minorEastAsia" w:hAnsiTheme="minorEastAsia" w:eastAsiaTheme="minorEastAsia"/>
          <w:color w:val="auto"/>
          <w:sz w:val="32"/>
          <w:szCs w:val="32"/>
          <w:shd w:val="clear" w:color="auto" w:fill="FFFFFF"/>
          <w:lang w:val="en-US" w:eastAsia="zh-CN"/>
        </w:rPr>
        <w:t>领导小组办公室</w:t>
      </w:r>
    </w:p>
    <w:p>
      <w:pPr>
        <w:spacing w:line="360" w:lineRule="auto"/>
        <w:ind w:left="0" w:leftChars="0" w:firstLine="4739" w:firstLineChars="1481"/>
        <w:rPr>
          <w:rFonts w:asciiTheme="minorEastAsia" w:hAnsiTheme="minorEastAsia" w:eastAsiaTheme="minorEastAsia"/>
          <w:color w:val="auto"/>
          <w:sz w:val="32"/>
          <w:szCs w:val="32"/>
        </w:rPr>
      </w:pPr>
      <w:r>
        <w:rPr>
          <w:rFonts w:asciiTheme="minorEastAsia" w:hAnsiTheme="minorEastAsia" w:eastAsiaTheme="minorEastAsia"/>
          <w:color w:val="auto"/>
          <w:sz w:val="32"/>
          <w:szCs w:val="32"/>
          <w:shd w:val="clear" w:color="auto" w:fill="FFFFFF"/>
        </w:rPr>
        <w:t>2021年12月</w:t>
      </w:r>
      <w:r>
        <w:rPr>
          <w:rFonts w:hint="eastAsia" w:asciiTheme="minorEastAsia" w:hAnsiTheme="minorEastAsia" w:eastAsiaTheme="minorEastAsia"/>
          <w:color w:val="auto"/>
          <w:sz w:val="32"/>
          <w:szCs w:val="32"/>
          <w:shd w:val="clear" w:color="auto" w:fill="FFFFFF"/>
        </w:rPr>
        <w:t>25</w:t>
      </w:r>
      <w:r>
        <w:rPr>
          <w:rFonts w:asciiTheme="minorEastAsia" w:hAnsiTheme="minorEastAsia" w:eastAsiaTheme="minorEastAsia"/>
          <w:color w:val="auto"/>
          <w:sz w:val="32"/>
          <w:szCs w:val="32"/>
          <w:shd w:val="clear" w:color="auto" w:fill="FFFFFF"/>
        </w:rPr>
        <w:t>日</w:t>
      </w:r>
    </w:p>
    <w:p>
      <w:pPr>
        <w:jc w:val="center"/>
        <w:rPr>
          <w:rFonts w:ascii="宋体" w:hAnsi="宋体"/>
          <w:b/>
          <w:bCs/>
          <w:color w:val="auto"/>
          <w:sz w:val="44"/>
          <w:szCs w:val="44"/>
        </w:rPr>
      </w:pPr>
      <w:r>
        <w:rPr>
          <w:rFonts w:ascii="宋体" w:hAnsi="宋体"/>
          <w:b/>
          <w:bCs/>
          <w:color w:val="auto"/>
          <w:sz w:val="44"/>
          <w:szCs w:val="44"/>
        </w:rPr>
        <w:br w:type="page"/>
      </w:r>
    </w:p>
    <w:p>
      <w:pPr>
        <w:adjustRightInd w:val="0"/>
        <w:snapToGrid w:val="0"/>
        <w:rPr>
          <w:rFonts w:ascii="宋体" w:hAnsi="宋体"/>
          <w:b/>
          <w:bCs/>
          <w:color w:val="auto"/>
          <w:sz w:val="44"/>
          <w:szCs w:val="44"/>
        </w:rPr>
      </w:pPr>
    </w:p>
    <w:p>
      <w:pPr>
        <w:adjustRightInd w:val="0"/>
        <w:snapToGrid w:val="0"/>
        <w:jc w:val="center"/>
        <w:rPr>
          <w:rFonts w:hint="eastAsia" w:ascii="宋体" w:hAnsi="宋体"/>
          <w:b/>
          <w:bCs/>
          <w:color w:val="auto"/>
          <w:sz w:val="44"/>
          <w:szCs w:val="44"/>
        </w:rPr>
      </w:pPr>
    </w:p>
    <w:p>
      <w:pPr>
        <w:adjustRightInd w:val="0"/>
        <w:snapToGrid w:val="0"/>
        <w:jc w:val="center"/>
        <w:rPr>
          <w:rFonts w:ascii="宋体" w:hAnsi="宋体"/>
          <w:b/>
          <w:bCs/>
          <w:color w:val="auto"/>
          <w:sz w:val="44"/>
          <w:szCs w:val="44"/>
        </w:rPr>
      </w:pPr>
      <w:r>
        <w:rPr>
          <w:rFonts w:hint="eastAsia" w:ascii="宋体" w:hAnsi="宋体"/>
          <w:b/>
          <w:bCs/>
          <w:color w:val="auto"/>
          <w:sz w:val="44"/>
          <w:szCs w:val="44"/>
        </w:rPr>
        <w:t>目   录</w:t>
      </w:r>
    </w:p>
    <w:p>
      <w:pPr>
        <w:adjustRightInd w:val="0"/>
        <w:snapToGrid w:val="0"/>
        <w:jc w:val="center"/>
        <w:rPr>
          <w:rFonts w:ascii="宋体" w:hAnsi="宋体"/>
          <w:b/>
          <w:bCs/>
          <w:color w:val="auto"/>
          <w:sz w:val="44"/>
          <w:szCs w:val="44"/>
        </w:rPr>
      </w:pPr>
    </w:p>
    <w:p>
      <w:pPr>
        <w:adjustRightInd w:val="0"/>
        <w:snapToGrid w:val="0"/>
        <w:jc w:val="center"/>
        <w:rPr>
          <w:rFonts w:ascii="宋体" w:hAnsi="宋体"/>
          <w:b/>
          <w:bCs/>
          <w:color w:val="auto"/>
          <w:sz w:val="44"/>
          <w:szCs w:val="44"/>
        </w:rPr>
      </w:pPr>
    </w:p>
    <w:p>
      <w:pPr>
        <w:pStyle w:val="26"/>
        <w:tabs>
          <w:tab w:val="right" w:leader="dot" w:pos="9040"/>
          <w:tab w:val="clear" w:pos="9344"/>
        </w:tabs>
        <w:ind w:left="218" w:leftChars="104" w:firstLine="0" w:firstLineChars="0"/>
        <w:rPr>
          <w:rFonts w:ascii="仿宋_GB2312" w:hAnsi="仿宋_GB2312" w:eastAsia="仿宋_GB2312" w:cs="仿宋_GB2312"/>
          <w:color w:val="auto"/>
        </w:rPr>
      </w:pP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TOC \o "1-3" \h \z \u </w:instrText>
      </w:r>
      <w:r>
        <w:rPr>
          <w:rFonts w:hint="eastAsia" w:ascii="仿宋_GB2312" w:hAnsi="仿宋_GB2312" w:eastAsia="仿宋_GB2312" w:cs="仿宋_GB2312"/>
          <w:color w:val="auto"/>
        </w:rPr>
        <w:fldChar w:fldCharType="separate"/>
      </w:r>
      <w:r>
        <w:rPr>
          <w:color w:val="auto"/>
        </w:rPr>
        <w:fldChar w:fldCharType="begin"/>
      </w:r>
      <w:r>
        <w:rPr>
          <w:color w:val="auto"/>
        </w:rPr>
        <w:instrText xml:space="preserve"> HYPERLINK \l "_Toc3575" </w:instrText>
      </w:r>
      <w:r>
        <w:rPr>
          <w:color w:val="auto"/>
        </w:rPr>
        <w:fldChar w:fldCharType="separate"/>
      </w:r>
      <w:r>
        <w:rPr>
          <w:rFonts w:hint="eastAsia" w:ascii="仿宋_GB2312" w:hAnsi="仿宋_GB2312" w:eastAsia="仿宋_GB2312" w:cs="仿宋_GB2312"/>
          <w:color w:val="auto"/>
        </w:rPr>
        <w:t>第一章  遴选文件</w:t>
      </w:r>
      <w:r>
        <w:rPr>
          <w:rFonts w:hint="eastAsia" w:ascii="仿宋_GB2312" w:hAnsi="仿宋_GB2312" w:eastAsia="仿宋_GB2312" w:cs="仿宋_GB2312"/>
          <w:color w:val="auto"/>
        </w:rPr>
        <w:tab/>
      </w:r>
      <w:r>
        <w:rPr>
          <w:rFonts w:hint="eastAsia" w:ascii="仿宋_GB2312" w:hAnsi="仿宋_GB2312" w:eastAsia="仿宋_GB2312" w:cs="仿宋_GB2312"/>
          <w:color w:val="auto"/>
          <w:lang w:val="en-US" w:eastAsia="zh-CN"/>
        </w:rPr>
        <w:t>8</w:t>
      </w:r>
      <w:r>
        <w:rPr>
          <w:rFonts w:hint="eastAsia" w:ascii="仿宋_GB2312" w:hAnsi="仿宋_GB2312" w:eastAsia="仿宋_GB2312" w:cs="仿宋_GB2312"/>
          <w:color w:val="auto"/>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"_Toc21369" </w:instrText>
      </w:r>
      <w:r>
        <w:rPr>
          <w:color w:val="auto"/>
        </w:rPr>
        <w:fldChar w:fldCharType="separate"/>
      </w:r>
      <w:r>
        <w:rPr>
          <w:rFonts w:hint="eastAsia" w:ascii="仿宋_GB2312" w:hAnsi="仿宋_GB2312" w:cs="仿宋_GB2312"/>
          <w:color w:val="auto"/>
          <w:sz w:val="28"/>
          <w:szCs w:val="28"/>
        </w:rPr>
        <w:t>一、响应人须知前附表</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_Toc21369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8</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"_Toc21283" </w:instrText>
      </w:r>
      <w:r>
        <w:rPr>
          <w:color w:val="auto"/>
        </w:rPr>
        <w:fldChar w:fldCharType="separate"/>
      </w:r>
      <w:r>
        <w:rPr>
          <w:rFonts w:hint="eastAsia" w:ascii="仿宋_GB2312" w:hAnsi="仿宋_GB2312" w:cs="仿宋_GB2312"/>
          <w:color w:val="auto"/>
          <w:sz w:val="28"/>
          <w:szCs w:val="28"/>
        </w:rPr>
        <w:t>二、响应人要求</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_Toc21283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11</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"_Toc13125" </w:instrText>
      </w:r>
      <w:r>
        <w:rPr>
          <w:color w:val="auto"/>
        </w:rPr>
        <w:fldChar w:fldCharType="separate"/>
      </w:r>
      <w:r>
        <w:rPr>
          <w:rFonts w:hint="eastAsia" w:ascii="仿宋_GB2312" w:hAnsi="仿宋_GB2312" w:cs="仿宋_GB2312"/>
          <w:color w:val="auto"/>
          <w:sz w:val="28"/>
          <w:szCs w:val="28"/>
        </w:rPr>
        <w:t>三、响应文件编制要求</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_Toc13125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11</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"_Toc18033" </w:instrText>
      </w:r>
      <w:r>
        <w:rPr>
          <w:color w:val="auto"/>
        </w:rPr>
        <w:fldChar w:fldCharType="separate"/>
      </w:r>
      <w:r>
        <w:rPr>
          <w:rFonts w:hint="eastAsia" w:ascii="仿宋_GB2312" w:hAnsi="仿宋_GB2312" w:cs="仿宋_GB2312"/>
          <w:color w:val="auto"/>
          <w:sz w:val="28"/>
          <w:szCs w:val="28"/>
        </w:rPr>
        <w:t>四、服务内容及要求</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_Toc18033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13</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"_Toc16231" </w:instrText>
      </w:r>
      <w:r>
        <w:rPr>
          <w:color w:val="auto"/>
        </w:rPr>
        <w:fldChar w:fldCharType="separate"/>
      </w:r>
      <w:r>
        <w:rPr>
          <w:rFonts w:hint="eastAsia" w:ascii="仿宋_GB2312" w:hAnsi="仿宋_GB2312" w:cs="仿宋_GB2312"/>
          <w:color w:val="auto"/>
          <w:sz w:val="28"/>
          <w:szCs w:val="28"/>
        </w:rPr>
        <w:t>五、遴选评选标准</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_Toc16231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16</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26"/>
        <w:tabs>
          <w:tab w:val="right" w:leader="dot" w:pos="9040"/>
          <w:tab w:val="clear" w:pos="9344"/>
        </w:tabs>
        <w:ind w:left="218" w:leftChars="104" w:firstLine="0" w:firstLineChars="0"/>
        <w:rPr>
          <w:rFonts w:ascii="仿宋_GB2312" w:hAnsi="仿宋_GB2312" w:eastAsia="仿宋_GB2312" w:cs="仿宋_GB2312"/>
          <w:color w:val="auto"/>
        </w:rPr>
      </w:pPr>
      <w:r>
        <w:rPr>
          <w:color w:val="auto"/>
        </w:rPr>
        <w:fldChar w:fldCharType="begin"/>
      </w:r>
      <w:r>
        <w:rPr>
          <w:color w:val="auto"/>
        </w:rPr>
        <w:instrText xml:space="preserve"> HYPERLINK \l "_Toc5506" </w:instrText>
      </w:r>
      <w:r>
        <w:rPr>
          <w:color w:val="auto"/>
        </w:rPr>
        <w:fldChar w:fldCharType="separate"/>
      </w:r>
      <w:r>
        <w:rPr>
          <w:rFonts w:hint="eastAsia" w:ascii="仿宋_GB2312" w:hAnsi="仿宋_GB2312" w:eastAsia="仿宋_GB2312" w:cs="仿宋_GB2312"/>
          <w:color w:val="auto"/>
        </w:rPr>
        <w:t>第二章  响应文件（格 式）</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_Toc5506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21</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"_Toc1768" </w:instrText>
      </w:r>
      <w:r>
        <w:rPr>
          <w:color w:val="auto"/>
        </w:rPr>
        <w:fldChar w:fldCharType="separate"/>
      </w:r>
      <w:r>
        <w:rPr>
          <w:rFonts w:hint="eastAsia" w:ascii="仿宋_GB2312" w:hAnsi="仿宋_GB2312" w:cs="仿宋_GB2312"/>
          <w:color w:val="auto"/>
          <w:sz w:val="28"/>
          <w:szCs w:val="28"/>
        </w:rPr>
        <w:t>一、响应函</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_Toc1768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22</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"_Toc29571" </w:instrText>
      </w:r>
      <w:r>
        <w:rPr>
          <w:color w:val="auto"/>
        </w:rPr>
        <w:fldChar w:fldCharType="separate"/>
      </w:r>
      <w:r>
        <w:rPr>
          <w:rFonts w:hint="eastAsia" w:ascii="仿宋_GB2312" w:hAnsi="仿宋_GB2312" w:cs="仿宋_GB2312"/>
          <w:color w:val="auto"/>
          <w:sz w:val="28"/>
          <w:szCs w:val="28"/>
        </w:rPr>
        <w:t>二、法人授权委托书（格式）</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_Toc29571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24</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34"/>
        <w:tabs>
          <w:tab w:val="right" w:leader="dot" w:pos="9040"/>
          <w:tab w:val="clear" w:pos="9344"/>
        </w:tabs>
        <w:spacing w:line="240" w:lineRule="auto"/>
        <w:ind w:left="840" w:leftChars="400" w:firstLine="0" w:firstLineChars="0"/>
        <w:rPr>
          <w:rFonts w:ascii="仿宋_GB2312" w:hAnsi="仿宋_GB2312" w:cs="仿宋_GB2312"/>
          <w:color w:val="auto"/>
          <w:sz w:val="28"/>
          <w:szCs w:val="28"/>
        </w:rPr>
      </w:pPr>
      <w:r>
        <w:rPr>
          <w:color w:val="auto"/>
        </w:rPr>
        <w:fldChar w:fldCharType="begin"/>
      </w:r>
      <w:r>
        <w:rPr>
          <w:color w:val="auto"/>
        </w:rPr>
        <w:instrText xml:space="preserve"> HYPERLINK \l "_Toc22396" </w:instrText>
      </w:r>
      <w:r>
        <w:rPr>
          <w:color w:val="auto"/>
        </w:rPr>
        <w:fldChar w:fldCharType="separate"/>
      </w:r>
      <w:r>
        <w:rPr>
          <w:rFonts w:hint="eastAsia" w:ascii="仿宋_GB2312" w:hAnsi="仿宋_GB2312" w:cs="仿宋_GB2312"/>
          <w:color w:val="auto"/>
          <w:sz w:val="28"/>
          <w:szCs w:val="28"/>
        </w:rPr>
        <w:t>三、相关证明资料</w:t>
      </w:r>
      <w:r>
        <w:rPr>
          <w:rFonts w:hint="eastAsia" w:ascii="仿宋_GB2312" w:hAnsi="仿宋_GB2312" w:cs="仿宋_GB2312"/>
          <w:color w:val="auto"/>
          <w:sz w:val="28"/>
          <w:szCs w:val="28"/>
        </w:rPr>
        <w:tab/>
      </w:r>
      <w:r>
        <w:rPr>
          <w:rFonts w:hint="eastAsia" w:ascii="仿宋_GB2312" w:hAnsi="仿宋_GB2312" w:cs="仿宋_GB2312"/>
          <w:color w:val="auto"/>
          <w:sz w:val="28"/>
          <w:szCs w:val="28"/>
        </w:rPr>
        <w:fldChar w:fldCharType="begin"/>
      </w:r>
      <w:r>
        <w:rPr>
          <w:rFonts w:hint="eastAsia" w:ascii="仿宋_GB2312" w:hAnsi="仿宋_GB2312" w:cs="仿宋_GB2312"/>
          <w:color w:val="auto"/>
          <w:sz w:val="28"/>
          <w:szCs w:val="28"/>
        </w:rPr>
        <w:instrText xml:space="preserve"> PAGEREF _Toc22396 \h </w:instrText>
      </w:r>
      <w:r>
        <w:rPr>
          <w:rFonts w:hint="eastAsia" w:ascii="仿宋_GB2312" w:hAnsi="仿宋_GB2312" w:cs="仿宋_GB2312"/>
          <w:color w:val="auto"/>
          <w:sz w:val="28"/>
          <w:szCs w:val="28"/>
        </w:rPr>
        <w:fldChar w:fldCharType="separate"/>
      </w:r>
      <w:r>
        <w:rPr>
          <w:rFonts w:hint="eastAsia" w:ascii="仿宋_GB2312" w:hAnsi="仿宋_GB2312" w:cs="仿宋_GB2312"/>
          <w:color w:val="auto"/>
          <w:sz w:val="28"/>
          <w:szCs w:val="28"/>
        </w:rPr>
        <w:t>25</w:t>
      </w:r>
      <w:r>
        <w:rPr>
          <w:rFonts w:hint="eastAsia" w:ascii="仿宋_GB2312" w:hAnsi="仿宋_GB2312" w:cs="仿宋_GB2312"/>
          <w:color w:val="auto"/>
          <w:sz w:val="28"/>
          <w:szCs w:val="28"/>
        </w:rPr>
        <w:fldChar w:fldCharType="end"/>
      </w:r>
      <w:r>
        <w:rPr>
          <w:rFonts w:hint="eastAsia" w:ascii="仿宋_GB2312" w:hAnsi="仿宋_GB2312" w:cs="仿宋_GB2312"/>
          <w:color w:val="auto"/>
          <w:sz w:val="28"/>
          <w:szCs w:val="28"/>
        </w:rPr>
        <w:fldChar w:fldCharType="end"/>
      </w:r>
    </w:p>
    <w:p>
      <w:pPr>
        <w:pStyle w:val="34"/>
        <w:spacing w:line="240" w:lineRule="auto"/>
        <w:ind w:firstLine="140"/>
        <w:rPr>
          <w:color w:val="auto"/>
        </w:rPr>
        <w:sectPr>
          <w:footerReference r:id="rId6" w:type="default"/>
          <w:pgSz w:w="11906" w:h="16838"/>
          <w:pgMar w:top="1134" w:right="1134" w:bottom="1134" w:left="1418" w:header="851" w:footer="850" w:gutter="0"/>
          <w:pgNumType w:start="2"/>
          <w:cols w:space="720" w:num="1"/>
          <w:docGrid w:type="lines" w:linePitch="312" w:charSpace="0"/>
        </w:sectPr>
      </w:pPr>
      <w:r>
        <w:rPr>
          <w:rFonts w:hint="eastAsia" w:ascii="仿宋_GB2312" w:hAnsi="仿宋_GB2312" w:cs="仿宋_GB2312"/>
          <w:color w:val="auto"/>
          <w:sz w:val="28"/>
          <w:szCs w:val="28"/>
        </w:rPr>
        <w:fldChar w:fldCharType="end"/>
      </w:r>
    </w:p>
    <w:p>
      <w:pPr>
        <w:pStyle w:val="2"/>
        <w:numPr>
          <w:ilvl w:val="0"/>
          <w:numId w:val="0"/>
        </w:numPr>
        <w:jc w:val="center"/>
        <w:rPr>
          <w:rFonts w:ascii="宋体" w:hAnsi="宋体" w:eastAsia="宋体" w:cs="Arial"/>
          <w:color w:val="auto"/>
          <w:szCs w:val="28"/>
        </w:rPr>
      </w:pPr>
      <w:bookmarkStart w:id="0" w:name="_Toc71968883"/>
      <w:bookmarkStart w:id="1" w:name="_Toc71968688"/>
      <w:bookmarkStart w:id="2" w:name="_Toc71881262"/>
      <w:bookmarkStart w:id="3" w:name="_Toc71967764"/>
      <w:bookmarkStart w:id="4" w:name="_Toc82222707"/>
      <w:bookmarkStart w:id="5" w:name="_Toc71968181"/>
      <w:bookmarkStart w:id="6" w:name="_Toc71967995"/>
      <w:bookmarkStart w:id="7" w:name="_Toc3575"/>
      <w:bookmarkStart w:id="8" w:name="_Toc118878834"/>
      <w:bookmarkStart w:id="9" w:name="_Hlk450145192"/>
      <w:r>
        <w:rPr>
          <w:rFonts w:hint="eastAsia" w:ascii="宋体" w:hAnsi="宋体" w:eastAsia="宋体"/>
          <w:b/>
          <w:color w:val="auto"/>
          <w:sz w:val="40"/>
          <w:szCs w:val="40"/>
        </w:rPr>
        <w:t xml:space="preserve">第一章  </w:t>
      </w:r>
      <w:bookmarkEnd w:id="0"/>
      <w:bookmarkEnd w:id="1"/>
      <w:bookmarkEnd w:id="2"/>
      <w:bookmarkEnd w:id="3"/>
      <w:bookmarkEnd w:id="4"/>
      <w:bookmarkEnd w:id="5"/>
      <w:bookmarkEnd w:id="6"/>
      <w:r>
        <w:rPr>
          <w:rFonts w:hint="eastAsia" w:ascii="宋体" w:hAnsi="宋体" w:eastAsia="宋体"/>
          <w:b/>
          <w:color w:val="auto"/>
          <w:sz w:val="40"/>
          <w:szCs w:val="40"/>
        </w:rPr>
        <w:t>遴选文件</w:t>
      </w:r>
      <w:bookmarkEnd w:id="7"/>
      <w:bookmarkEnd w:id="8"/>
      <w:bookmarkStart w:id="10" w:name="_Toc71967765"/>
      <w:bookmarkStart w:id="11" w:name="_Toc71968182"/>
      <w:bookmarkStart w:id="12" w:name="_Toc71881263"/>
      <w:bookmarkStart w:id="13" w:name="_Toc71968689"/>
      <w:bookmarkStart w:id="14" w:name="_Toc118878835"/>
      <w:bookmarkStart w:id="15" w:name="_Toc71967996"/>
      <w:bookmarkStart w:id="16" w:name="_Toc71968884"/>
      <w:bookmarkStart w:id="17" w:name="_Toc82222708"/>
    </w:p>
    <w:p>
      <w:pPr>
        <w:pStyle w:val="3"/>
        <w:spacing w:beforeLines="50" w:after="0" w:line="240" w:lineRule="auto"/>
        <w:jc w:val="center"/>
        <w:rPr>
          <w:rFonts w:ascii="宋体" w:hAnsi="宋体" w:eastAsia="宋体" w:cs="Arial"/>
          <w:color w:val="auto"/>
          <w:sz w:val="36"/>
          <w:szCs w:val="36"/>
        </w:rPr>
      </w:pPr>
      <w:bookmarkStart w:id="18" w:name="_Toc21369"/>
      <w:r>
        <w:rPr>
          <w:rFonts w:hint="eastAsia" w:ascii="宋体" w:hAnsi="宋体" w:eastAsia="宋体" w:cs="Arial"/>
          <w:color w:val="auto"/>
          <w:sz w:val="36"/>
          <w:szCs w:val="36"/>
        </w:rPr>
        <w:t>一、响应人须知前附表</w:t>
      </w:r>
      <w:bookmarkEnd w:id="10"/>
      <w:bookmarkEnd w:id="11"/>
      <w:bookmarkEnd w:id="12"/>
      <w:bookmarkEnd w:id="13"/>
      <w:bookmarkEnd w:id="14"/>
      <w:bookmarkEnd w:id="15"/>
      <w:bookmarkEnd w:id="16"/>
      <w:bookmarkEnd w:id="17"/>
      <w:bookmarkEnd w:id="18"/>
    </w:p>
    <w:tbl>
      <w:tblPr>
        <w:tblStyle w:val="41"/>
        <w:tblW w:w="1010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adjustRightInd w:val="0"/>
              <w:snapToGrid w:val="0"/>
              <w:spacing w:line="360" w:lineRule="auto"/>
              <w:jc w:val="center"/>
              <w:rPr>
                <w:rFonts w:ascii="宋体" w:hAnsi="宋体" w:cs="仿宋_GB2312"/>
                <w:b/>
                <w:bCs/>
                <w:color w:val="auto"/>
                <w:sz w:val="28"/>
                <w:szCs w:val="28"/>
              </w:rPr>
            </w:pPr>
            <w:r>
              <w:rPr>
                <w:rFonts w:hint="eastAsia" w:ascii="宋体" w:hAnsi="宋体" w:cs="仿宋_GB2312"/>
                <w:b/>
                <w:bCs/>
                <w:color w:val="auto"/>
                <w:sz w:val="28"/>
                <w:szCs w:val="28"/>
              </w:rPr>
              <w:t>序号</w:t>
            </w:r>
          </w:p>
        </w:tc>
        <w:tc>
          <w:tcPr>
            <w:tcW w:w="9381" w:type="dxa"/>
            <w:vAlign w:val="center"/>
          </w:tcPr>
          <w:p>
            <w:pPr>
              <w:adjustRightInd w:val="0"/>
              <w:snapToGrid w:val="0"/>
              <w:spacing w:line="360" w:lineRule="auto"/>
              <w:jc w:val="center"/>
              <w:rPr>
                <w:rFonts w:ascii="宋体" w:hAnsi="宋体" w:cs="仿宋_GB2312"/>
                <w:b/>
                <w:bCs/>
                <w:color w:val="auto"/>
                <w:sz w:val="28"/>
                <w:szCs w:val="28"/>
              </w:rPr>
            </w:pPr>
            <w:r>
              <w:rPr>
                <w:rFonts w:hint="eastAsia" w:ascii="宋体" w:hAnsi="宋体" w:cs="仿宋_GB2312"/>
                <w:b/>
                <w:bCs/>
                <w:color w:val="auto"/>
                <w:sz w:val="28"/>
                <w:szCs w:val="28"/>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w:t>
            </w:r>
          </w:p>
        </w:tc>
        <w:tc>
          <w:tcPr>
            <w:tcW w:w="9381" w:type="dxa"/>
            <w:vAlign w:val="center"/>
          </w:tcPr>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项目名称：海原县政策性农业保险承保机构遴选</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遴选内容：详见遴选文件“第四章 服务内容及要求”</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项目编号：QYZB(CG)-2021-038</w:t>
            </w:r>
          </w:p>
          <w:p>
            <w:pPr>
              <w:adjustRightInd w:val="0"/>
              <w:snapToGrid w:val="0"/>
              <w:spacing w:line="360" w:lineRule="auto"/>
              <w:rPr>
                <w:rFonts w:hint="eastAsia" w:ascii="宋体" w:hAnsi="宋体" w:eastAsia="宋体" w:cs="仿宋_GB2312"/>
                <w:bCs/>
                <w:color w:val="auto"/>
                <w:sz w:val="28"/>
                <w:szCs w:val="28"/>
                <w:lang w:eastAsia="zh-CN"/>
              </w:rPr>
            </w:pPr>
            <w:r>
              <w:rPr>
                <w:rFonts w:hint="eastAsia" w:ascii="宋体" w:hAnsi="宋体" w:cs="仿宋_GB2312"/>
                <w:bCs/>
                <w:color w:val="auto"/>
                <w:sz w:val="28"/>
                <w:szCs w:val="28"/>
              </w:rPr>
              <w:t>服 务 期：三年</w:t>
            </w:r>
            <w:r>
              <w:rPr>
                <w:rFonts w:hint="eastAsia" w:ascii="宋体" w:hAnsi="宋体" w:cs="仿宋_GB2312"/>
                <w:bCs/>
                <w:color w:val="auto"/>
                <w:sz w:val="28"/>
                <w:szCs w:val="28"/>
                <w:lang w:eastAsia="zh-CN"/>
              </w:rPr>
              <w:t>（</w:t>
            </w:r>
            <w:r>
              <w:rPr>
                <w:rFonts w:hint="eastAsia" w:ascii="宋体" w:hAnsi="宋体" w:cs="仿宋_GB2312"/>
                <w:bCs/>
                <w:color w:val="auto"/>
                <w:sz w:val="28"/>
                <w:szCs w:val="28"/>
                <w:lang w:val="en-US" w:eastAsia="zh-CN"/>
              </w:rPr>
              <w:t>2022年1月1日－2024年12月31日</w:t>
            </w:r>
            <w:r>
              <w:rPr>
                <w:rFonts w:hint="eastAsia" w:ascii="宋体" w:hAnsi="宋体" w:cs="仿宋_GB2312"/>
                <w:bCs/>
                <w:color w:val="auto"/>
                <w:sz w:val="28"/>
                <w:szCs w:val="28"/>
                <w:lang w:eastAsia="zh-CN"/>
              </w:rPr>
              <w:t>）</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遴选方式：综合评分法</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遴选数量：3家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2</w:t>
            </w:r>
          </w:p>
        </w:tc>
        <w:tc>
          <w:tcPr>
            <w:tcW w:w="9381" w:type="dxa"/>
            <w:vAlign w:val="center"/>
          </w:tcPr>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 选 人：海原县农业保险工作领导小组办公室</w:t>
            </w:r>
          </w:p>
          <w:p>
            <w:pPr>
              <w:adjustRightInd w:val="0"/>
              <w:snapToGrid w:val="0"/>
              <w:spacing w:line="360" w:lineRule="auto"/>
              <w:rPr>
                <w:rFonts w:ascii="宋体" w:hAnsi="宋体" w:cs="仿宋_GB2312"/>
                <w:bCs/>
                <w:color w:val="auto"/>
                <w:sz w:val="28"/>
                <w:szCs w:val="28"/>
                <w:highlight w:val="yellow"/>
              </w:rPr>
            </w:pPr>
            <w:r>
              <w:rPr>
                <w:rFonts w:hint="eastAsia" w:ascii="宋体" w:hAnsi="宋体" w:cs="仿宋_GB2312"/>
                <w:bCs/>
                <w:color w:val="auto"/>
                <w:sz w:val="28"/>
                <w:szCs w:val="28"/>
              </w:rPr>
              <w:t>联系电话：15378946030</w:t>
            </w:r>
          </w:p>
          <w:p>
            <w:pPr>
              <w:adjustRightInd w:val="0"/>
              <w:snapToGrid w:val="0"/>
              <w:spacing w:line="360" w:lineRule="auto"/>
              <w:rPr>
                <w:rFonts w:ascii="宋体" w:hAnsi="宋体" w:cs="仿宋_GB2312"/>
                <w:bCs/>
                <w:color w:val="auto"/>
                <w:sz w:val="28"/>
                <w:szCs w:val="28"/>
              </w:rPr>
            </w:pPr>
            <w:bookmarkStart w:id="19" w:name="_Toc531617746"/>
            <w:bookmarkStart w:id="20" w:name="_Toc531617662"/>
            <w:bookmarkStart w:id="21" w:name="_Toc531617592"/>
            <w:r>
              <w:rPr>
                <w:rFonts w:hint="eastAsia" w:ascii="宋体" w:hAnsi="宋体" w:cs="仿宋_GB2312"/>
                <w:bCs/>
                <w:color w:val="auto"/>
                <w:sz w:val="28"/>
                <w:szCs w:val="28"/>
              </w:rPr>
              <w:t>地    址</w:t>
            </w:r>
            <w:bookmarkEnd w:id="19"/>
            <w:bookmarkEnd w:id="20"/>
            <w:bookmarkEnd w:id="21"/>
            <w:r>
              <w:rPr>
                <w:rFonts w:hint="eastAsia" w:ascii="宋体" w:hAnsi="宋体" w:cs="仿宋_GB2312"/>
                <w:bCs/>
                <w:color w:val="auto"/>
                <w:sz w:val="28"/>
                <w:szCs w:val="28"/>
              </w:rPr>
              <w:t>：海原县建设路</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代理机构：泉园（宁夏）项目管理有限公司</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联 系 人：李霞     联系电话：0951-8520586</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地    址：银川市金凤区贺兰山中路500号清水湾二期18号商业房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3</w:t>
            </w:r>
          </w:p>
        </w:tc>
        <w:tc>
          <w:tcPr>
            <w:tcW w:w="9381" w:type="dxa"/>
            <w:vAlign w:val="center"/>
          </w:tcPr>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遴选文件领取时间:2021年12月27日至 12月29日（节假日除外）</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遴选文件获取：海原县人民政府网公告栏下载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4</w:t>
            </w:r>
          </w:p>
        </w:tc>
        <w:tc>
          <w:tcPr>
            <w:tcW w:w="9381" w:type="dxa"/>
            <w:vAlign w:val="center"/>
          </w:tcPr>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响应文件递交地址：中世E招公共资源交易平台银川分平台（银川市金凤区新昌西路金钻名座20层）</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时 间：2021年12月30日上午10：00时前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5</w:t>
            </w:r>
          </w:p>
        </w:tc>
        <w:tc>
          <w:tcPr>
            <w:tcW w:w="9381" w:type="dxa"/>
            <w:vAlign w:val="center"/>
          </w:tcPr>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遴选时间：2021年12月30日上午10：00时整</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遴选地点：中世E招公共资源交易平台银川分平台（银川市金凤区新昌西路金钻名座20层）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6</w:t>
            </w:r>
          </w:p>
        </w:tc>
        <w:tc>
          <w:tcPr>
            <w:tcW w:w="9381" w:type="dxa"/>
            <w:vAlign w:val="center"/>
          </w:tcPr>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（1）</w:t>
            </w:r>
            <w:r>
              <w:rPr>
                <w:rFonts w:hint="eastAsia" w:ascii="宋体" w:hAnsi="宋体" w:cs="仿宋_GB2312"/>
                <w:b/>
                <w:bCs/>
                <w:color w:val="auto"/>
                <w:sz w:val="28"/>
                <w:szCs w:val="28"/>
              </w:rPr>
              <w:t>遴选响应文件为一正陆副，电子文件一份</w:t>
            </w:r>
            <w:r>
              <w:rPr>
                <w:rFonts w:hint="eastAsia" w:ascii="宋体" w:hAnsi="宋体" w:cs="仿宋_GB2312"/>
                <w:bCs/>
                <w:color w:val="auto"/>
                <w:sz w:val="28"/>
                <w:szCs w:val="28"/>
              </w:rPr>
              <w:t>（电子文件为与响应文件正本一致的Word格式文件，U盘存储，</w:t>
            </w:r>
            <w:bookmarkStart w:id="22" w:name="_Hlk12961583"/>
            <w:r>
              <w:rPr>
                <w:rFonts w:hint="eastAsia" w:ascii="宋体" w:hAnsi="宋体" w:cs="仿宋_GB2312"/>
                <w:bCs/>
                <w:color w:val="auto"/>
                <w:sz w:val="28"/>
                <w:szCs w:val="28"/>
              </w:rPr>
              <w:t>U盘上贴标签注明申请人名称</w:t>
            </w:r>
            <w:bookmarkEnd w:id="22"/>
            <w:r>
              <w:rPr>
                <w:rFonts w:hint="eastAsia" w:ascii="宋体" w:hAnsi="宋体" w:cs="仿宋_GB2312"/>
                <w:bCs/>
                <w:color w:val="auto"/>
                <w:sz w:val="28"/>
                <w:szCs w:val="28"/>
              </w:rPr>
              <w:t>）。</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（2）</w:t>
            </w:r>
            <w:r>
              <w:rPr>
                <w:rFonts w:hint="eastAsia" w:ascii="宋体" w:hAnsi="宋体" w:cs="仿宋_GB2312"/>
                <w:b/>
                <w:bCs/>
                <w:color w:val="auto"/>
                <w:sz w:val="28"/>
                <w:szCs w:val="28"/>
              </w:rPr>
              <w:t>遴选响应文件的密封及标记</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①响应文件正副本分别密封包装，注明“正本”或“副本”，加贴封条，并在封套的封口处加盖申请人单位公章及驻海原县承保机构负责人或委托代理人签名或盖章。</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②电子文件U盘密封包装，注明“电子文件U盘”，加贴封条，并在封套的封口处加盖申请人单位公章及驻海原县承保机构负责人或委托代理人签名或盖章。</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③封套上应载明的信息：</w:t>
            </w:r>
          </w:p>
          <w:p>
            <w:pPr>
              <w:adjustRightInd w:val="0"/>
              <w:snapToGrid w:val="0"/>
              <w:spacing w:line="360" w:lineRule="auto"/>
              <w:rPr>
                <w:rFonts w:ascii="宋体" w:hAnsi="宋体" w:cs="仿宋_GB2312"/>
                <w:bCs/>
                <w:color w:val="auto"/>
                <w:sz w:val="28"/>
                <w:szCs w:val="28"/>
                <w:u w:val="single"/>
              </w:rPr>
            </w:pPr>
            <w:r>
              <w:rPr>
                <w:rFonts w:hint="eastAsia" w:ascii="宋体" w:hAnsi="宋体" w:cs="仿宋_GB2312"/>
                <w:bCs/>
                <w:color w:val="auto"/>
                <w:sz w:val="28"/>
                <w:szCs w:val="28"/>
              </w:rPr>
              <w:t>遴选名称：</w:t>
            </w:r>
            <w:r>
              <w:rPr>
                <w:rFonts w:hint="eastAsia" w:ascii="宋体" w:hAnsi="宋体" w:cs="仿宋_GB2312"/>
                <w:bCs/>
                <w:color w:val="auto"/>
                <w:sz w:val="28"/>
                <w:szCs w:val="28"/>
                <w:u w:val="single"/>
              </w:rPr>
              <w:t xml:space="preserve">                </w:t>
            </w:r>
          </w:p>
          <w:p>
            <w:pPr>
              <w:adjustRightInd w:val="0"/>
              <w:snapToGrid w:val="0"/>
              <w:spacing w:line="360" w:lineRule="auto"/>
              <w:rPr>
                <w:rFonts w:ascii="宋体" w:hAnsi="宋体" w:cs="仿宋_GB2312"/>
                <w:bCs/>
                <w:color w:val="auto"/>
                <w:sz w:val="28"/>
                <w:szCs w:val="28"/>
                <w:u w:val="single"/>
              </w:rPr>
            </w:pPr>
            <w:r>
              <w:rPr>
                <w:rFonts w:hint="eastAsia" w:ascii="宋体" w:hAnsi="宋体" w:cs="仿宋_GB2312"/>
                <w:bCs/>
                <w:color w:val="auto"/>
                <w:sz w:val="28"/>
                <w:szCs w:val="28"/>
              </w:rPr>
              <w:t>遴选编号：</w:t>
            </w:r>
            <w:r>
              <w:rPr>
                <w:rFonts w:hint="eastAsia" w:ascii="宋体" w:hAnsi="宋体" w:cs="仿宋_GB2312"/>
                <w:bCs/>
                <w:color w:val="auto"/>
                <w:sz w:val="28"/>
                <w:szCs w:val="28"/>
                <w:u w:val="single"/>
              </w:rPr>
              <w:t xml:space="preserve">                </w:t>
            </w:r>
          </w:p>
          <w:p>
            <w:pPr>
              <w:adjustRightInd w:val="0"/>
              <w:snapToGrid w:val="0"/>
              <w:spacing w:line="360" w:lineRule="auto"/>
              <w:rPr>
                <w:rFonts w:ascii="宋体" w:hAnsi="宋体" w:cs="仿宋_GB2312"/>
                <w:bCs/>
                <w:color w:val="auto"/>
                <w:sz w:val="28"/>
                <w:szCs w:val="28"/>
                <w:u w:val="single"/>
              </w:rPr>
            </w:pPr>
            <w:r>
              <w:rPr>
                <w:rFonts w:hint="eastAsia" w:ascii="宋体" w:hAnsi="宋体" w:cs="仿宋_GB2312"/>
                <w:bCs/>
                <w:color w:val="auto"/>
                <w:sz w:val="28"/>
                <w:szCs w:val="28"/>
              </w:rPr>
              <w:t>在</w:t>
            </w:r>
            <w:r>
              <w:rPr>
                <w:rFonts w:hint="eastAsia" w:ascii="宋体" w:hAnsi="宋体" w:cs="仿宋_GB2312"/>
                <w:bCs/>
                <w:color w:val="auto"/>
                <w:sz w:val="28"/>
                <w:szCs w:val="28"/>
                <w:u w:val="single"/>
              </w:rPr>
              <w:t xml:space="preserve">  </w:t>
            </w:r>
            <w:r>
              <w:rPr>
                <w:rFonts w:hint="eastAsia" w:ascii="宋体" w:hAnsi="宋体" w:cs="仿宋_GB2312"/>
                <w:bCs/>
                <w:color w:val="auto"/>
                <w:sz w:val="28"/>
                <w:szCs w:val="28"/>
              </w:rPr>
              <w:t>年</w:t>
            </w:r>
            <w:r>
              <w:rPr>
                <w:rFonts w:hint="eastAsia" w:ascii="宋体" w:hAnsi="宋体" w:cs="仿宋_GB2312"/>
                <w:bCs/>
                <w:color w:val="auto"/>
                <w:sz w:val="28"/>
                <w:szCs w:val="28"/>
                <w:u w:val="single"/>
              </w:rPr>
              <w:t xml:space="preserve">  </w:t>
            </w:r>
            <w:r>
              <w:rPr>
                <w:rFonts w:hint="eastAsia" w:ascii="宋体" w:hAnsi="宋体" w:cs="仿宋_GB2312"/>
                <w:bCs/>
                <w:color w:val="auto"/>
                <w:sz w:val="28"/>
                <w:szCs w:val="28"/>
              </w:rPr>
              <w:t>月</w:t>
            </w:r>
            <w:r>
              <w:rPr>
                <w:rFonts w:hint="eastAsia" w:ascii="宋体" w:hAnsi="宋体" w:cs="仿宋_GB2312"/>
                <w:bCs/>
                <w:color w:val="auto"/>
                <w:sz w:val="28"/>
                <w:szCs w:val="28"/>
                <w:u w:val="single"/>
              </w:rPr>
              <w:t xml:space="preserve">  </w:t>
            </w:r>
            <w:r>
              <w:rPr>
                <w:rFonts w:hint="eastAsia" w:ascii="宋体" w:hAnsi="宋体" w:cs="仿宋_GB2312"/>
                <w:bCs/>
                <w:color w:val="auto"/>
                <w:sz w:val="28"/>
                <w:szCs w:val="28"/>
              </w:rPr>
              <w:t>日</w:t>
            </w:r>
            <w:r>
              <w:rPr>
                <w:rFonts w:hint="eastAsia" w:ascii="宋体" w:hAnsi="宋体" w:cs="仿宋_GB2312"/>
                <w:bCs/>
                <w:color w:val="auto"/>
                <w:sz w:val="28"/>
                <w:szCs w:val="28"/>
                <w:u w:val="single"/>
              </w:rPr>
              <w:t xml:space="preserve">  </w:t>
            </w:r>
            <w:r>
              <w:rPr>
                <w:rFonts w:hint="eastAsia" w:ascii="宋体" w:hAnsi="宋体" w:cs="仿宋_GB2312"/>
                <w:bCs/>
                <w:color w:val="auto"/>
                <w:sz w:val="28"/>
                <w:szCs w:val="28"/>
              </w:rPr>
              <w:t xml:space="preserve"> 时</w:t>
            </w:r>
            <w:r>
              <w:rPr>
                <w:rFonts w:hint="eastAsia" w:ascii="宋体" w:hAnsi="宋体" w:cs="仿宋_GB2312"/>
                <w:bCs/>
                <w:color w:val="auto"/>
                <w:sz w:val="28"/>
                <w:szCs w:val="28"/>
                <w:u w:val="single"/>
              </w:rPr>
              <w:t xml:space="preserve">  </w:t>
            </w:r>
            <w:r>
              <w:rPr>
                <w:rFonts w:hint="eastAsia" w:ascii="宋体" w:hAnsi="宋体" w:cs="仿宋_GB2312"/>
                <w:bCs/>
                <w:color w:val="auto"/>
                <w:sz w:val="28"/>
                <w:szCs w:val="28"/>
              </w:rPr>
              <w:t>分之前不得启封（响应文件截止递交时间）</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申请人名称（全称）：</w:t>
            </w:r>
            <w:r>
              <w:rPr>
                <w:rFonts w:hint="eastAsia" w:ascii="宋体" w:hAnsi="宋体" w:cs="仿宋_GB2312"/>
                <w:bCs/>
                <w:color w:val="auto"/>
                <w:sz w:val="28"/>
                <w:szCs w:val="28"/>
                <w:u w:val="single"/>
              </w:rPr>
              <w:t xml:space="preserve">              </w:t>
            </w:r>
          </w:p>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④如果申请人的遴选响应文件未按上述要求标记和密封，遴选人或遴选机构应拒收；且对所有遴选响应文件的误投或提前启封概不负责。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20" w:type="dxa"/>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7</w:t>
            </w:r>
          </w:p>
        </w:tc>
        <w:tc>
          <w:tcPr>
            <w:tcW w:w="9381" w:type="dxa"/>
            <w:vAlign w:val="center"/>
          </w:tcPr>
          <w:p>
            <w:pPr>
              <w:adjustRightInd w:val="0"/>
              <w:snapToGrid w:val="0"/>
              <w:spacing w:line="360" w:lineRule="auto"/>
              <w:rPr>
                <w:rFonts w:hint="eastAsia" w:ascii="宋体" w:hAnsi="宋体" w:eastAsia="宋体" w:cs="仿宋_GB2312"/>
                <w:bCs/>
                <w:color w:val="auto"/>
                <w:sz w:val="28"/>
                <w:szCs w:val="28"/>
                <w:lang w:eastAsia="zh-CN"/>
              </w:rPr>
            </w:pPr>
            <w:r>
              <w:rPr>
                <w:rFonts w:hint="eastAsia" w:ascii="宋体" w:hAnsi="宋体" w:cs="仿宋_GB2312"/>
                <w:bCs/>
                <w:color w:val="auto"/>
                <w:sz w:val="28"/>
                <w:szCs w:val="28"/>
              </w:rPr>
              <w:t>签订合同地点: 海原县农业保险</w:t>
            </w:r>
            <w:r>
              <w:rPr>
                <w:rFonts w:hint="eastAsia" w:ascii="宋体" w:hAnsi="宋体" w:cs="仿宋_GB2312"/>
                <w:bCs/>
                <w:color w:val="auto"/>
                <w:sz w:val="28"/>
                <w:szCs w:val="28"/>
                <w:lang w:val="en-US" w:eastAsia="zh-CN"/>
              </w:rPr>
              <w:t>工作领导小组办公室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8</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仿宋_GB2312"/>
                <w:bCs/>
                <w:color w:val="auto"/>
                <w:sz w:val="28"/>
                <w:szCs w:val="28"/>
              </w:rPr>
            </w:pPr>
            <w:r>
              <w:rPr>
                <w:rFonts w:hint="eastAsia" w:ascii="宋体" w:hAnsi="宋体" w:cs="仿宋_GB2312"/>
                <w:bCs/>
                <w:color w:val="auto"/>
                <w:sz w:val="28"/>
                <w:szCs w:val="28"/>
              </w:rPr>
              <w:t>中选承保机构必须在接到《中选通知书》后10日内按照遴选文件、中选承保机构响应文件以及农业保险政策法规规定，与</w:t>
            </w:r>
            <w:r>
              <w:rPr>
                <w:rFonts w:hint="eastAsia" w:ascii="宋体" w:hAnsi="宋体" w:cs="仿宋_GB2312"/>
                <w:bCs/>
                <w:color w:val="auto"/>
                <w:sz w:val="28"/>
                <w:szCs w:val="28"/>
                <w:lang w:val="en-US" w:eastAsia="zh-CN"/>
              </w:rPr>
              <w:t>另选人</w:t>
            </w:r>
            <w:r>
              <w:rPr>
                <w:rFonts w:hint="eastAsia" w:ascii="宋体" w:hAnsi="宋体" w:cs="仿宋_GB2312"/>
                <w:bCs/>
                <w:color w:val="auto"/>
                <w:sz w:val="28"/>
                <w:szCs w:val="28"/>
              </w:rPr>
              <w:t>签订书面合同，逾期未签订合同的视为自动放弃入选资格。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9</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left"/>
              <w:rPr>
                <w:rFonts w:hint="eastAsia" w:ascii="宋体" w:hAnsi="宋体" w:eastAsia="宋体" w:cs="仿宋_GB2312"/>
                <w:bCs/>
                <w:color w:val="auto"/>
                <w:sz w:val="28"/>
                <w:szCs w:val="28"/>
                <w:lang w:eastAsia="zh-CN"/>
              </w:rPr>
            </w:pPr>
            <w:r>
              <w:rPr>
                <w:rFonts w:hint="eastAsia" w:ascii="宋体" w:hAnsi="宋体" w:cs="仿宋_GB2312"/>
                <w:bCs/>
                <w:color w:val="auto"/>
                <w:sz w:val="28"/>
                <w:szCs w:val="28"/>
              </w:rPr>
              <w:t>评审小组组成：由遴选人代表1名及在专家库中随机抽取专家评委6人组成7人评审小组</w:t>
            </w:r>
            <w:r>
              <w:rPr>
                <w:rFonts w:hint="eastAsia" w:ascii="宋体" w:hAnsi="宋体" w:cs="仿宋_GB2312"/>
                <w:bCs/>
                <w:color w:val="auto"/>
                <w:sz w:val="28"/>
                <w:szCs w:val="28"/>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10</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仿宋_GB2312"/>
                <w:bCs/>
                <w:color w:val="auto"/>
                <w:sz w:val="28"/>
                <w:szCs w:val="28"/>
              </w:rPr>
            </w:pPr>
            <w:r>
              <w:rPr>
                <w:rFonts w:hint="eastAsia" w:ascii="宋体" w:hAnsi="宋体" w:cs="宋体"/>
                <w:color w:val="auto"/>
                <w:sz w:val="28"/>
                <w:szCs w:val="28"/>
              </w:rPr>
              <w:t>遴选代理服务费：</w:t>
            </w:r>
            <w:r>
              <w:rPr>
                <w:rFonts w:hint="eastAsia" w:ascii="宋体" w:hAnsi="宋体" w:cs="宋体"/>
                <w:color w:val="auto"/>
                <w:sz w:val="28"/>
                <w:szCs w:val="28"/>
                <w:lang w:val="en-US" w:eastAsia="zh-CN"/>
              </w:rPr>
              <w:t>人民币</w:t>
            </w:r>
            <w:r>
              <w:rPr>
                <w:rFonts w:hint="eastAsia" w:ascii="宋体" w:hAnsi="宋体" w:cs="宋体"/>
                <w:color w:val="auto"/>
                <w:sz w:val="28"/>
                <w:szCs w:val="28"/>
              </w:rPr>
              <w:t>3万元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11</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联合体：本项目不接受联合体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12</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解决争议方式：</w:t>
            </w:r>
          </w:p>
          <w:p>
            <w:pPr>
              <w:adjustRightInd w:val="0"/>
              <w:snapToGrid w:val="0"/>
              <w:spacing w:line="360" w:lineRule="auto"/>
              <w:rPr>
                <w:rFonts w:ascii="宋体" w:hAnsi="宋体" w:cs="宋体"/>
                <w:color w:val="auto"/>
                <w:sz w:val="28"/>
                <w:szCs w:val="28"/>
              </w:rPr>
            </w:pPr>
            <w:r>
              <w:rPr>
                <w:rFonts w:hint="eastAsia" w:ascii="宋体" w:hAnsi="宋体" w:cs="楷体_GB2312"/>
                <w:color w:val="auto"/>
                <w:sz w:val="24"/>
              </w:rPr>
              <w:sym w:font="Wingdings" w:char="00FE"/>
            </w:r>
            <w:r>
              <w:rPr>
                <w:rFonts w:hint="eastAsia" w:ascii="宋体" w:hAnsi="宋体" w:cs="楷体_GB2312"/>
                <w:color w:val="auto"/>
                <w:sz w:val="24"/>
              </w:rPr>
              <w:t xml:space="preserve"> 诉讼</w:t>
            </w:r>
            <w:r>
              <w:rPr>
                <w:rFonts w:hint="eastAsia" w:ascii="宋体" w:hAnsi="宋体" w:cs="楷体_GB2312"/>
                <w:color w:val="auto"/>
                <w:sz w:val="24"/>
                <w:lang w:val="en-US" w:eastAsia="zh-CN"/>
              </w:rPr>
              <w:t xml:space="preserve">   </w:t>
            </w:r>
            <w:r>
              <w:rPr>
                <w:rFonts w:hint="eastAsia" w:ascii="宋体" w:hAnsi="宋体" w:cs="楷体_GB2312"/>
                <w:color w:val="auto"/>
                <w:sz w:val="24"/>
              </w:rPr>
              <w:t>□ 仲裁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13</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中选承保机构数量：3家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14</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履约担保：</w:t>
            </w:r>
          </w:p>
          <w:p>
            <w:pPr>
              <w:adjustRightInd w:val="0"/>
              <w:snapToGrid w:val="0"/>
              <w:spacing w:line="360" w:lineRule="auto"/>
              <w:rPr>
                <w:rFonts w:ascii="宋体" w:hAnsi="宋体" w:cs="宋体"/>
                <w:color w:val="auto"/>
                <w:sz w:val="28"/>
                <w:szCs w:val="28"/>
              </w:rPr>
            </w:pPr>
            <w:r>
              <w:rPr>
                <w:rFonts w:hint="eastAsia" w:ascii="宋体" w:hAnsi="宋体" w:cs="楷体_GB2312"/>
                <w:color w:val="auto"/>
                <w:sz w:val="24"/>
              </w:rPr>
              <w:t>☑不要求提供</w:t>
            </w:r>
            <w:r>
              <w:rPr>
                <w:rFonts w:hint="eastAsia" w:ascii="宋体" w:hAnsi="宋体" w:cs="楷体_GB2312"/>
                <w:color w:val="auto"/>
                <w:sz w:val="24"/>
                <w:lang w:val="en-US" w:eastAsia="zh-CN"/>
              </w:rPr>
              <w:t xml:space="preserve">    </w:t>
            </w:r>
            <w:r>
              <w:rPr>
                <w:rFonts w:hint="eastAsia" w:ascii="宋体" w:hAnsi="宋体" w:cs="楷体_GB2312"/>
                <w:color w:val="auto"/>
                <w:sz w:val="24"/>
              </w:rPr>
              <w:sym w:font="Wingdings" w:char="00A8"/>
            </w:r>
            <w:r>
              <w:rPr>
                <w:rFonts w:hint="eastAsia" w:ascii="宋体" w:hAnsi="宋体" w:cs="楷体_GB2312"/>
                <w:color w:val="auto"/>
                <w:sz w:val="24"/>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15</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资格审查方式：采用资格后审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16</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踏勘现场：不统一组织踏勘现场及答疑，申请人自行踏勘现场。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仿宋_GB2312"/>
                <w:bCs/>
                <w:color w:val="auto"/>
                <w:sz w:val="28"/>
                <w:szCs w:val="28"/>
              </w:rPr>
            </w:pPr>
            <w:r>
              <w:rPr>
                <w:rFonts w:hint="eastAsia" w:ascii="宋体" w:hAnsi="宋体" w:cs="仿宋_GB2312"/>
                <w:bCs/>
                <w:color w:val="auto"/>
                <w:sz w:val="28"/>
                <w:szCs w:val="28"/>
              </w:rPr>
              <w:t>17</w:t>
            </w:r>
          </w:p>
        </w:tc>
        <w:tc>
          <w:tcPr>
            <w:tcW w:w="9381"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响应文件有效期：60 日历日</w:t>
            </w:r>
          </w:p>
        </w:tc>
      </w:tr>
    </w:tbl>
    <w:p>
      <w:pPr>
        <w:pStyle w:val="3"/>
        <w:spacing w:beforeLines="50" w:after="0" w:line="240" w:lineRule="auto"/>
        <w:jc w:val="center"/>
        <w:rPr>
          <w:rFonts w:ascii="宋体" w:hAnsi="宋体" w:eastAsia="宋体" w:cs="Arial"/>
          <w:color w:val="auto"/>
        </w:rPr>
      </w:pPr>
      <w:r>
        <w:rPr>
          <w:rFonts w:hint="eastAsia" w:ascii="仿宋_GB2312" w:hAnsi="宋体" w:eastAsia="仿宋_GB2312"/>
          <w:b w:val="0"/>
          <w:color w:val="auto"/>
          <w:sz w:val="21"/>
          <w:szCs w:val="21"/>
        </w:rPr>
        <w:br w:type="page"/>
      </w:r>
      <w:bookmarkStart w:id="23" w:name="_Toc71967997"/>
      <w:bookmarkStart w:id="24" w:name="_Toc71968183"/>
      <w:bookmarkStart w:id="25" w:name="_Toc71968690"/>
      <w:bookmarkStart w:id="26" w:name="_Toc82222709"/>
      <w:bookmarkStart w:id="27" w:name="_Toc71967766"/>
      <w:bookmarkStart w:id="28" w:name="_Toc71881264"/>
      <w:bookmarkStart w:id="29" w:name="_Toc71968885"/>
      <w:bookmarkStart w:id="30" w:name="_Toc21283"/>
      <w:r>
        <w:rPr>
          <w:rFonts w:hint="eastAsia" w:ascii="宋体" w:hAnsi="宋体" w:eastAsia="宋体" w:cs="Arial"/>
          <w:color w:val="auto"/>
          <w:sz w:val="36"/>
          <w:szCs w:val="36"/>
        </w:rPr>
        <w:t>二、响应人</w:t>
      </w:r>
      <w:bookmarkEnd w:id="9"/>
      <w:bookmarkEnd w:id="23"/>
      <w:bookmarkEnd w:id="24"/>
      <w:bookmarkEnd w:id="25"/>
      <w:bookmarkEnd w:id="26"/>
      <w:bookmarkEnd w:id="27"/>
      <w:bookmarkEnd w:id="28"/>
      <w:bookmarkEnd w:id="29"/>
      <w:r>
        <w:rPr>
          <w:rFonts w:hint="eastAsia" w:ascii="宋体" w:hAnsi="宋体" w:eastAsia="宋体" w:cs="Arial"/>
          <w:color w:val="auto"/>
          <w:sz w:val="36"/>
          <w:szCs w:val="36"/>
        </w:rPr>
        <w:t>要求</w:t>
      </w:r>
      <w:bookmarkEnd w:id="30"/>
    </w:p>
    <w:p>
      <w:pPr>
        <w:rPr>
          <w:color w:val="auto"/>
          <w:sz w:val="24"/>
          <w:szCs w:val="24"/>
        </w:rPr>
      </w:pPr>
    </w:p>
    <w:p>
      <w:pPr>
        <w:rPr>
          <w:color w:val="auto"/>
          <w:sz w:val="24"/>
          <w:szCs w:val="24"/>
        </w:rPr>
      </w:pPr>
    </w:p>
    <w:p>
      <w:pPr>
        <w:spacing w:line="360" w:lineRule="auto"/>
        <w:rPr>
          <w:rFonts w:ascii="宋体" w:hAnsi="宋体" w:cs="仿宋_GB2312"/>
          <w:b/>
          <w:bCs/>
          <w:color w:val="auto"/>
          <w:sz w:val="28"/>
          <w:szCs w:val="28"/>
        </w:rPr>
      </w:pPr>
      <w:r>
        <w:rPr>
          <w:rFonts w:hint="eastAsia" w:ascii="宋体" w:hAnsi="宋体" w:cs="仿宋_GB2312"/>
          <w:b/>
          <w:bCs/>
          <w:color w:val="auto"/>
          <w:sz w:val="28"/>
          <w:szCs w:val="28"/>
        </w:rPr>
        <w:t>一、响应人需具备的基本条件</w:t>
      </w:r>
    </w:p>
    <w:p>
      <w:pPr>
        <w:pStyle w:val="38"/>
        <w:widowControl/>
        <w:spacing w:before="0" w:beforeAutospacing="0" w:after="0" w:afterAutospacing="0" w:line="360" w:lineRule="auto"/>
        <w:ind w:firstLine="560" w:firstLineChars="200"/>
        <w:jc w:val="both"/>
        <w:rPr>
          <w:rFonts w:ascii="宋体" w:hAnsi="宋体" w:cs="仿宋_GB2312"/>
          <w:color w:val="auto"/>
          <w:sz w:val="28"/>
          <w:szCs w:val="28"/>
          <w:shd w:val="clear" w:color="auto" w:fill="FFFFFF"/>
        </w:rPr>
      </w:pPr>
      <w:r>
        <w:rPr>
          <w:rFonts w:hint="eastAsia" w:ascii="宋体" w:hAnsi="宋体" w:cs="仿宋_GB2312"/>
          <w:color w:val="auto"/>
          <w:sz w:val="28"/>
          <w:szCs w:val="28"/>
          <w:shd w:val="clear" w:color="auto" w:fill="FFFFFF"/>
        </w:rPr>
        <w:t>1.符合《中华人民共和国保险法》《农业保险条例》等法律法规规定；</w:t>
      </w:r>
    </w:p>
    <w:p>
      <w:pPr>
        <w:pStyle w:val="38"/>
        <w:widowControl/>
        <w:spacing w:before="0" w:beforeAutospacing="0" w:after="0" w:afterAutospacing="0" w:line="360" w:lineRule="auto"/>
        <w:ind w:firstLine="560" w:firstLineChars="200"/>
        <w:jc w:val="both"/>
        <w:rPr>
          <w:rFonts w:ascii="宋体" w:hAnsi="宋体" w:cs="仿宋_GB2312"/>
          <w:color w:val="auto"/>
          <w:sz w:val="28"/>
          <w:szCs w:val="28"/>
          <w:shd w:val="clear" w:color="auto" w:fill="FFFFFF"/>
        </w:rPr>
      </w:pPr>
      <w:r>
        <w:rPr>
          <w:rFonts w:hint="eastAsia" w:ascii="宋体" w:hAnsi="宋体" w:cs="仿宋_GB2312"/>
          <w:color w:val="auto"/>
          <w:sz w:val="28"/>
          <w:szCs w:val="28"/>
          <w:shd w:val="clear" w:color="auto" w:fill="FFFFFF"/>
        </w:rPr>
        <w:t>2．有专门的农业保险管理部门，至少配备5名农业保险等相关专业人员，具有较强的核损理赔和风险管理能力；</w:t>
      </w:r>
    </w:p>
    <w:p>
      <w:pPr>
        <w:widowControl/>
        <w:spacing w:line="360" w:lineRule="auto"/>
        <w:ind w:firstLine="640"/>
        <w:rPr>
          <w:rFonts w:ascii="宋体" w:hAnsi="宋体" w:cs="仿宋_GB2312"/>
          <w:color w:val="auto"/>
          <w:kern w:val="0"/>
          <w:sz w:val="28"/>
          <w:szCs w:val="28"/>
          <w:shd w:val="clear" w:color="auto" w:fill="FFFFFF"/>
        </w:rPr>
      </w:pPr>
      <w:r>
        <w:rPr>
          <w:rFonts w:hint="eastAsia" w:ascii="宋体" w:hAnsi="宋体" w:cs="仿宋_GB2312"/>
          <w:color w:val="auto"/>
          <w:kern w:val="0"/>
          <w:sz w:val="28"/>
          <w:szCs w:val="28"/>
          <w:shd w:val="clear" w:color="auto" w:fill="FFFFFF"/>
        </w:rPr>
        <w:t>3.具有完善的农业保险大灾风险分散机制；</w:t>
      </w:r>
    </w:p>
    <w:p>
      <w:pPr>
        <w:widowControl/>
        <w:spacing w:line="360" w:lineRule="auto"/>
        <w:ind w:firstLine="640"/>
        <w:rPr>
          <w:rFonts w:ascii="宋体" w:hAnsi="宋体" w:cs="仿宋_GB2312"/>
          <w:color w:val="auto"/>
          <w:sz w:val="28"/>
          <w:szCs w:val="28"/>
        </w:rPr>
      </w:pPr>
      <w:r>
        <w:rPr>
          <w:rFonts w:hint="eastAsia" w:ascii="宋体" w:hAnsi="宋体" w:cs="仿宋_GB2312"/>
          <w:color w:val="auto"/>
          <w:kern w:val="0"/>
          <w:sz w:val="28"/>
          <w:szCs w:val="28"/>
          <w:shd w:val="clear" w:color="auto" w:fill="FFFFFF"/>
        </w:rPr>
        <w:t>4.具有完善的基层（乡镇级）服务网络及服务站点（村级）；</w:t>
      </w:r>
    </w:p>
    <w:p>
      <w:pPr>
        <w:pStyle w:val="38"/>
        <w:widowControl/>
        <w:spacing w:before="0" w:beforeAutospacing="0" w:after="0" w:afterAutospacing="0" w:line="360" w:lineRule="auto"/>
        <w:ind w:firstLine="560" w:firstLineChars="200"/>
        <w:jc w:val="both"/>
        <w:rPr>
          <w:rFonts w:ascii="宋体" w:hAnsi="宋体" w:cs="仿宋_GB2312"/>
          <w:color w:val="auto"/>
          <w:sz w:val="28"/>
          <w:szCs w:val="28"/>
        </w:rPr>
      </w:pPr>
      <w:r>
        <w:rPr>
          <w:rFonts w:hint="eastAsia" w:ascii="宋体" w:hAnsi="宋体" w:cs="仿宋_GB2312"/>
          <w:color w:val="auto"/>
          <w:sz w:val="28"/>
          <w:szCs w:val="28"/>
          <w:shd w:val="clear" w:color="auto" w:fill="FFFFFF"/>
        </w:rPr>
        <w:t>5.信息化建设满足业务管理要求，能够按要求与中国农业再保险股份有限公司（以下简称“中国农再”）约定分保业务信息系统进行对接；能够按照相关要求与宁夏农业保险补贴与管理平台实现对接；</w:t>
      </w:r>
    </w:p>
    <w:p>
      <w:pPr>
        <w:widowControl/>
        <w:spacing w:line="360" w:lineRule="auto"/>
        <w:ind w:firstLine="640"/>
        <w:rPr>
          <w:rFonts w:ascii="宋体" w:hAnsi="宋体" w:cs="仿宋_GB2312"/>
          <w:color w:val="auto"/>
          <w:sz w:val="28"/>
          <w:szCs w:val="28"/>
        </w:rPr>
      </w:pPr>
      <w:r>
        <w:rPr>
          <w:rFonts w:hint="eastAsia" w:ascii="宋体" w:hAnsi="宋体" w:cs="仿宋_GB2312"/>
          <w:color w:val="auto"/>
          <w:kern w:val="0"/>
          <w:sz w:val="28"/>
          <w:szCs w:val="28"/>
          <w:shd w:val="clear" w:color="auto" w:fill="FFFFFF"/>
        </w:rPr>
        <w:t>6.承保机构总公司已与中国农再签署当期有效的《政策性农业保险再保险标准协议》，双方可协商对有关条款进行调整；</w:t>
      </w:r>
    </w:p>
    <w:p>
      <w:pPr>
        <w:pStyle w:val="38"/>
        <w:widowControl/>
        <w:spacing w:before="0" w:beforeAutospacing="0" w:after="0" w:afterAutospacing="0" w:line="360" w:lineRule="auto"/>
        <w:ind w:firstLine="560" w:firstLineChars="200"/>
        <w:jc w:val="both"/>
        <w:rPr>
          <w:rFonts w:ascii="宋体" w:hAnsi="宋体" w:cs="仿宋_GB2312"/>
          <w:color w:val="auto"/>
          <w:sz w:val="28"/>
          <w:szCs w:val="28"/>
          <w:shd w:val="clear" w:color="auto" w:fill="FFFFFF"/>
        </w:rPr>
      </w:pPr>
      <w:r>
        <w:rPr>
          <w:rFonts w:hint="eastAsia" w:ascii="宋体" w:hAnsi="宋体" w:cs="仿宋_GB2312"/>
          <w:color w:val="auto"/>
          <w:sz w:val="28"/>
          <w:szCs w:val="28"/>
          <w:shd w:val="clear" w:color="auto" w:fill="FFFFFF"/>
        </w:rPr>
        <w:t>7．具备完善的农业保险管理制度体系，内控管理良好，近3年内未因农业保险业务受到重大行政处罚；</w:t>
      </w:r>
    </w:p>
    <w:p>
      <w:pPr>
        <w:pStyle w:val="38"/>
        <w:widowControl/>
        <w:spacing w:before="0" w:beforeAutospacing="0" w:after="0" w:afterAutospacing="0" w:line="360" w:lineRule="auto"/>
        <w:ind w:firstLine="560" w:firstLineChars="200"/>
        <w:jc w:val="both"/>
        <w:rPr>
          <w:rFonts w:ascii="宋体" w:hAnsi="宋体" w:cs="仿宋_GB2312"/>
          <w:color w:val="auto"/>
          <w:sz w:val="28"/>
          <w:szCs w:val="28"/>
          <w:shd w:val="clear" w:color="auto" w:fill="FFFFFF"/>
        </w:rPr>
      </w:pPr>
      <w:r>
        <w:rPr>
          <w:rFonts w:hint="eastAsia" w:ascii="宋体" w:hAnsi="宋体" w:cs="仿宋_GB2312"/>
          <w:color w:val="auto"/>
          <w:sz w:val="28"/>
          <w:szCs w:val="28"/>
          <w:shd w:val="clear" w:color="auto" w:fill="FFFFFF"/>
        </w:rPr>
        <w:t>8.具有充足的偿付能力，综合偿付能力充足率应大于1.5倍，综合费用率应控制在20%以内；</w:t>
      </w:r>
    </w:p>
    <w:p>
      <w:pPr>
        <w:pStyle w:val="38"/>
        <w:widowControl/>
        <w:spacing w:before="0" w:beforeAutospacing="0" w:after="0" w:afterAutospacing="0" w:line="360" w:lineRule="auto"/>
        <w:ind w:firstLine="560" w:firstLineChars="200"/>
        <w:jc w:val="both"/>
        <w:rPr>
          <w:rFonts w:ascii="宋体" w:hAnsi="宋体" w:cs="仿宋_GB2312"/>
          <w:color w:val="auto"/>
          <w:sz w:val="28"/>
          <w:szCs w:val="28"/>
          <w:shd w:val="clear" w:color="auto" w:fill="FFFFFF"/>
        </w:rPr>
      </w:pPr>
      <w:r>
        <w:rPr>
          <w:rFonts w:hint="eastAsia" w:ascii="宋体" w:hAnsi="宋体" w:cs="仿宋_GB2312"/>
          <w:color w:val="auto"/>
          <w:sz w:val="28"/>
          <w:szCs w:val="28"/>
          <w:shd w:val="clear" w:color="auto" w:fill="FFFFFF"/>
        </w:rPr>
        <w:t>9.符合财政部和自治区规定的其他条件；</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kern w:val="0"/>
          <w:sz w:val="28"/>
          <w:szCs w:val="28"/>
          <w:shd w:val="clear" w:color="auto" w:fill="FFFFFF"/>
        </w:rPr>
        <w:t>10.本遴选事项不接受联合体遴选。</w:t>
      </w:r>
    </w:p>
    <w:p>
      <w:pPr>
        <w:pStyle w:val="3"/>
        <w:spacing w:before="0" w:after="0" w:line="360" w:lineRule="auto"/>
        <w:jc w:val="center"/>
        <w:rPr>
          <w:rFonts w:ascii="宋体" w:hAnsi="宋体" w:eastAsia="宋体" w:cs="Arial"/>
          <w:color w:val="auto"/>
          <w:sz w:val="36"/>
          <w:szCs w:val="36"/>
        </w:rPr>
      </w:pPr>
      <w:bookmarkStart w:id="31" w:name="_Toc13125"/>
    </w:p>
    <w:p>
      <w:pPr>
        <w:pStyle w:val="3"/>
        <w:spacing w:before="0" w:after="0" w:line="360" w:lineRule="auto"/>
        <w:jc w:val="center"/>
        <w:rPr>
          <w:rFonts w:ascii="宋体" w:hAnsi="宋体" w:eastAsia="宋体" w:cs="Arial"/>
          <w:color w:val="auto"/>
          <w:sz w:val="36"/>
          <w:szCs w:val="36"/>
        </w:rPr>
      </w:pPr>
      <w:r>
        <w:rPr>
          <w:rFonts w:hint="eastAsia" w:ascii="宋体" w:hAnsi="宋体" w:eastAsia="宋体" w:cs="Arial"/>
          <w:color w:val="auto"/>
          <w:sz w:val="36"/>
          <w:szCs w:val="36"/>
        </w:rPr>
        <w:t>三、响应文件编制要求</w:t>
      </w:r>
      <w:bookmarkEnd w:id="31"/>
    </w:p>
    <w:p>
      <w:pPr>
        <w:spacing w:line="360" w:lineRule="auto"/>
        <w:jc w:val="left"/>
        <w:rPr>
          <w:rFonts w:ascii="宋体" w:hAnsi="宋体" w:cs="仿宋_GB2312"/>
          <w:b/>
          <w:color w:val="auto"/>
          <w:sz w:val="28"/>
          <w:szCs w:val="28"/>
        </w:rPr>
      </w:pPr>
    </w:p>
    <w:p>
      <w:pPr>
        <w:spacing w:line="360" w:lineRule="auto"/>
        <w:jc w:val="left"/>
        <w:rPr>
          <w:rFonts w:ascii="宋体" w:hAnsi="宋体" w:cs="仿宋_GB2312"/>
          <w:b/>
          <w:color w:val="auto"/>
          <w:sz w:val="28"/>
          <w:szCs w:val="28"/>
        </w:rPr>
      </w:pPr>
      <w:r>
        <w:rPr>
          <w:rFonts w:hint="eastAsia" w:ascii="宋体" w:hAnsi="宋体" w:cs="仿宋_GB2312"/>
          <w:b/>
          <w:color w:val="auto"/>
          <w:sz w:val="28"/>
          <w:szCs w:val="28"/>
        </w:rPr>
        <w:t>1..响应文件具体内容包括：</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1.1营业执照、税务登记证、组织机构代码证或三证合一证件（复印件加盖公章）；</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1.2法定代表人委托授权书（原件，法人响应可不提供）；</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1.3响应方案；</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1.4其他响应资料。</w:t>
      </w:r>
    </w:p>
    <w:p>
      <w:pPr>
        <w:spacing w:line="360" w:lineRule="auto"/>
        <w:rPr>
          <w:rFonts w:ascii="宋体" w:hAnsi="宋体" w:cs="仿宋_GB2312"/>
          <w:b/>
          <w:color w:val="auto"/>
          <w:sz w:val="28"/>
          <w:szCs w:val="28"/>
        </w:rPr>
      </w:pPr>
      <w:r>
        <w:rPr>
          <w:rFonts w:hint="eastAsia" w:ascii="宋体" w:hAnsi="宋体" w:cs="仿宋_GB2312"/>
          <w:b/>
          <w:color w:val="auto"/>
          <w:sz w:val="28"/>
          <w:szCs w:val="28"/>
        </w:rPr>
        <w:t>2.响应文件的签署及规定</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2.1响应文件的各项资料均应遵守本条规定；</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2.2响应人应填写全称，同时加盖响应人印章；</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2.3响应文件必须由法定代表人或授权代表签字或盖章；</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2.4响应人准备响应文件正本壹份、副本陆份（封面应注明正本、副本字样），响应文件正、副本须用A4幅面纸张打印或用不褪色的蓝（黑）墨水填写，并清楚标明“正本”、“副本”字样，并各自连续逐页编码、装订成册，密封递交。如果正本与副本不符，以正本为准；</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2.5响应文件不得涂改和增删，如有修改错漏处，必须由法定代表人或授权代表人签字或盖章；</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2.6因字迹潦草、表达不清、复印模糊所引起的后果由响应人负责。</w:t>
      </w:r>
    </w:p>
    <w:p>
      <w:pPr>
        <w:spacing w:line="360" w:lineRule="auto"/>
        <w:rPr>
          <w:rFonts w:ascii="宋体" w:hAnsi="宋体" w:cs="仿宋_GB2312"/>
          <w:b/>
          <w:bCs/>
          <w:color w:val="auto"/>
          <w:sz w:val="28"/>
          <w:szCs w:val="28"/>
        </w:rPr>
      </w:pPr>
      <w:r>
        <w:rPr>
          <w:rFonts w:hint="eastAsia" w:ascii="宋体" w:hAnsi="宋体" w:cs="仿宋_GB2312"/>
          <w:b/>
          <w:bCs/>
          <w:color w:val="auto"/>
          <w:sz w:val="28"/>
          <w:szCs w:val="28"/>
        </w:rPr>
        <w:t>3.响应文件的密封、标记及递交</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3.1响应文件按以下方法分别装袋密封；</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3.2响应文件密封袋内装响应文件正副本共柒份、电子版U盘一份。在封口处需由法定代表人或授权人代表签字或盖章，并加盖响应单位公章。封皮项上写明遴选项目名称、响应人名称，并注明“开标时启封”字样。</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3.3如果响应人未按上述要求密封及加写标记，遴选方对响应文件的误投和提前启封概不负责。</w:t>
      </w:r>
    </w:p>
    <w:p>
      <w:pPr>
        <w:spacing w:line="360" w:lineRule="auto"/>
        <w:rPr>
          <w:rFonts w:ascii="宋体" w:hAnsi="宋体" w:cs="仿宋_GB2312"/>
          <w:b/>
          <w:color w:val="auto"/>
          <w:sz w:val="28"/>
          <w:szCs w:val="28"/>
        </w:rPr>
      </w:pPr>
      <w:r>
        <w:rPr>
          <w:rFonts w:hint="eastAsia" w:ascii="宋体" w:hAnsi="宋体" w:cs="仿宋_GB2312"/>
          <w:b/>
          <w:bCs/>
          <w:color w:val="auto"/>
          <w:sz w:val="28"/>
          <w:szCs w:val="28"/>
        </w:rPr>
        <w:t>4.开标</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4.1遴选人按采购文件规定的时间、地点公开开标；</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4.2响应人应派代表参加开标，参加开标的代表应签名报到，以证明其出席；</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4.3开标时遴选人公布响应人的名称，当众查验响应文件密封情况，确认无误后拆封唱标。</w:t>
      </w:r>
    </w:p>
    <w:p>
      <w:pPr>
        <w:tabs>
          <w:tab w:val="left" w:pos="420"/>
          <w:tab w:val="left" w:pos="630"/>
        </w:tabs>
        <w:spacing w:line="360" w:lineRule="auto"/>
        <w:rPr>
          <w:rFonts w:ascii="宋体" w:hAnsi="宋体" w:cs="仿宋_GB2312"/>
          <w:b/>
          <w:bCs/>
          <w:color w:val="auto"/>
          <w:sz w:val="28"/>
          <w:szCs w:val="28"/>
        </w:rPr>
      </w:pPr>
      <w:r>
        <w:rPr>
          <w:rFonts w:hint="eastAsia" w:ascii="宋体" w:hAnsi="宋体" w:cs="仿宋_GB2312"/>
          <w:b/>
          <w:bCs/>
          <w:color w:val="auto"/>
          <w:sz w:val="28"/>
          <w:szCs w:val="28"/>
        </w:rPr>
        <w:t>5.评标原则</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评审人员按照遴选评选标准评估赋分、汇总。响应人最终的得分为评标委员会汇总的分值。响应文件按照得分由高到低进行排序，选取排序前3名的响应人为此次遴选活动的入围中标公司，按照参加遴选的承保机构评审得分排名顺序确定优先选择权。中选承保机构按照排名顺序进行选包。在选包时，承保机构不得选择已经被选择的包。</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5.1评审程序</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按照符合性审查，资格审查，综合评估打分，排序的顺序，分四个步骤进行评审。</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5.2综合评估打分</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按照评标标准，对通过资格审查的响应人进行综合打分。</w:t>
      </w:r>
    </w:p>
    <w:p>
      <w:pPr>
        <w:pStyle w:val="3"/>
        <w:spacing w:beforeLines="50" w:after="0" w:line="360" w:lineRule="auto"/>
        <w:jc w:val="center"/>
        <w:rPr>
          <w:rFonts w:hint="eastAsia" w:ascii="宋体" w:hAnsi="宋体" w:eastAsia="宋体" w:cs="Arial"/>
          <w:color w:val="auto"/>
          <w:sz w:val="36"/>
          <w:szCs w:val="36"/>
        </w:rPr>
      </w:pPr>
      <w:bookmarkStart w:id="32" w:name="_Toc18033"/>
    </w:p>
    <w:p>
      <w:pPr>
        <w:pStyle w:val="3"/>
        <w:spacing w:beforeLines="50" w:after="0" w:line="360" w:lineRule="auto"/>
        <w:jc w:val="center"/>
        <w:rPr>
          <w:rFonts w:hint="eastAsia" w:ascii="宋体" w:hAnsi="宋体" w:eastAsia="宋体" w:cs="Arial"/>
          <w:color w:val="auto"/>
          <w:sz w:val="36"/>
          <w:szCs w:val="36"/>
        </w:rPr>
      </w:pPr>
      <w:r>
        <w:rPr>
          <w:rFonts w:hint="eastAsia" w:ascii="宋体" w:hAnsi="宋体" w:eastAsia="宋体" w:cs="Arial"/>
          <w:color w:val="auto"/>
          <w:sz w:val="36"/>
          <w:szCs w:val="36"/>
        </w:rPr>
        <w:t>四、服务内容及要求</w:t>
      </w:r>
      <w:bookmarkEnd w:id="32"/>
    </w:p>
    <w:p>
      <w:pPr>
        <w:rPr>
          <w:color w:val="auto"/>
        </w:rPr>
      </w:pPr>
    </w:p>
    <w:p>
      <w:pPr>
        <w:spacing w:line="360" w:lineRule="auto"/>
        <w:ind w:firstLine="560" w:firstLineChars="200"/>
        <w:rPr>
          <w:rFonts w:ascii="宋体" w:hAnsi="宋体"/>
          <w:color w:val="auto"/>
          <w:sz w:val="28"/>
          <w:szCs w:val="28"/>
        </w:rPr>
      </w:pPr>
      <w:r>
        <w:rPr>
          <w:rFonts w:hint="eastAsia" w:ascii="宋体" w:hAnsi="宋体"/>
          <w:color w:val="auto"/>
          <w:sz w:val="28"/>
          <w:szCs w:val="28"/>
        </w:rPr>
        <w:t>一、</w:t>
      </w:r>
      <w:r>
        <w:rPr>
          <w:rFonts w:ascii="宋体" w:hAnsi="宋体"/>
          <w:color w:val="auto"/>
          <w:sz w:val="28"/>
          <w:szCs w:val="28"/>
        </w:rPr>
        <w:t>遴选主要内容</w:t>
      </w:r>
    </w:p>
    <w:p>
      <w:pPr>
        <w:spacing w:line="360" w:lineRule="auto"/>
        <w:ind w:firstLine="560" w:firstLineChars="200"/>
        <w:rPr>
          <w:rFonts w:ascii="宋体" w:hAnsi="宋体"/>
          <w:color w:val="auto"/>
          <w:sz w:val="28"/>
          <w:szCs w:val="28"/>
        </w:rPr>
      </w:pPr>
      <w:bookmarkStart w:id="33" w:name="bookmark18"/>
      <w:r>
        <w:rPr>
          <w:rFonts w:ascii="宋体" w:hAnsi="宋体"/>
          <w:color w:val="auto"/>
          <w:sz w:val="28"/>
          <w:szCs w:val="28"/>
        </w:rPr>
        <w:t>（</w:t>
      </w:r>
      <w:bookmarkEnd w:id="33"/>
      <w:r>
        <w:rPr>
          <w:rFonts w:ascii="宋体" w:hAnsi="宋体"/>
          <w:color w:val="auto"/>
          <w:sz w:val="28"/>
          <w:szCs w:val="28"/>
        </w:rPr>
        <w:t>一）遴选对象。</w:t>
      </w:r>
      <w:r>
        <w:rPr>
          <w:rFonts w:ascii="宋体" w:hAnsi="宋体"/>
          <w:color w:val="auto"/>
          <w:kern w:val="0"/>
          <w:sz w:val="28"/>
          <w:szCs w:val="28"/>
          <w:shd w:val="clear" w:color="auto" w:fill="FFFFFF"/>
        </w:rPr>
        <w:t>参选政策性农业保险的承保机构，是指经自治区财政部门批复获准开展政策性农业保险经营服务的自治区级保险机构，并经自治区级保险机构授权的县级分支机构（以下简称“承保机构”），可以申请参加组织实施部门组织的当地承保机构遴选工作。</w:t>
      </w:r>
    </w:p>
    <w:p>
      <w:pPr>
        <w:spacing w:line="360" w:lineRule="auto"/>
        <w:ind w:firstLine="560" w:firstLineChars="200"/>
        <w:rPr>
          <w:rFonts w:ascii="宋体" w:hAnsi="宋体"/>
          <w:color w:val="auto"/>
          <w:kern w:val="0"/>
          <w:sz w:val="28"/>
          <w:szCs w:val="28"/>
          <w:shd w:val="clear" w:color="auto" w:fill="FFFFFF"/>
        </w:rPr>
      </w:pPr>
      <w:bookmarkStart w:id="34" w:name="bookmark19"/>
      <w:r>
        <w:rPr>
          <w:rFonts w:ascii="宋体" w:hAnsi="宋体"/>
          <w:color w:val="auto"/>
          <w:sz w:val="28"/>
          <w:szCs w:val="28"/>
        </w:rPr>
        <w:t>（二）</w:t>
      </w:r>
      <w:r>
        <w:rPr>
          <w:rFonts w:ascii="宋体" w:hAnsi="宋体"/>
          <w:color w:val="auto"/>
          <w:kern w:val="0"/>
          <w:sz w:val="28"/>
          <w:szCs w:val="28"/>
          <w:shd w:val="clear" w:color="auto" w:fill="FFFFFF"/>
        </w:rPr>
        <w:t>遴选承保机构经营服务的政策性农业保险，是指由各级财政提供保费补贴的政策性农业保险，涵盖所有享受中央、自治区、市、县（区）财政保费补贴的种植业、养殖业、林业等保险品种。不包括承保机构自主开展的各类涉农商业性保险品种。</w:t>
      </w:r>
    </w:p>
    <w:p>
      <w:pPr>
        <w:spacing w:line="360" w:lineRule="auto"/>
        <w:ind w:firstLine="560" w:firstLineChars="200"/>
        <w:rPr>
          <w:rFonts w:ascii="宋体" w:hAnsi="宋体"/>
          <w:color w:val="auto"/>
          <w:sz w:val="28"/>
          <w:szCs w:val="28"/>
        </w:rPr>
      </w:pPr>
      <w:r>
        <w:rPr>
          <w:rFonts w:hint="eastAsia" w:ascii="宋体" w:hAnsi="宋体"/>
          <w:color w:val="auto"/>
          <w:kern w:val="0"/>
          <w:sz w:val="28"/>
          <w:szCs w:val="28"/>
          <w:shd w:val="clear" w:color="auto" w:fill="FFFFFF"/>
        </w:rPr>
        <w:t>（三）</w:t>
      </w:r>
      <w:r>
        <w:rPr>
          <w:rFonts w:ascii="宋体" w:hAnsi="宋体"/>
          <w:color w:val="auto"/>
          <w:sz w:val="28"/>
          <w:szCs w:val="28"/>
        </w:rPr>
        <w:t>遴选品种分包设置</w:t>
      </w:r>
    </w:p>
    <w:tbl>
      <w:tblPr>
        <w:tblStyle w:val="41"/>
        <w:tblpPr w:leftFromText="180" w:rightFromText="180" w:vertAnchor="text" w:horzAnchor="page" w:tblpXSpec="center" w:tblpY="338"/>
        <w:tblOverlap w:val="never"/>
        <w:tblW w:w="8347" w:type="dxa"/>
        <w:jc w:val="center"/>
        <w:tblLayout w:type="fixed"/>
        <w:tblCellMar>
          <w:top w:w="0" w:type="dxa"/>
          <w:left w:w="0" w:type="dxa"/>
          <w:bottom w:w="0" w:type="dxa"/>
          <w:right w:w="0" w:type="dxa"/>
        </w:tblCellMar>
      </w:tblPr>
      <w:tblGrid>
        <w:gridCol w:w="567"/>
        <w:gridCol w:w="992"/>
        <w:gridCol w:w="1402"/>
        <w:gridCol w:w="1149"/>
        <w:gridCol w:w="1292"/>
        <w:gridCol w:w="2945"/>
      </w:tblGrid>
      <w:tr>
        <w:tblPrEx>
          <w:tblCellMar>
            <w:top w:w="0" w:type="dxa"/>
            <w:left w:w="0" w:type="dxa"/>
            <w:bottom w:w="0" w:type="dxa"/>
            <w:right w:w="0" w:type="dxa"/>
          </w:tblCellMar>
        </w:tblPrEx>
        <w:trPr>
          <w:trHeight w:val="693"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sz w:val="24"/>
                <w:szCs w:val="24"/>
              </w:rPr>
            </w:pPr>
            <w:r>
              <w:rPr>
                <w:rFonts w:hint="eastAsia" w:ascii="宋体" w:hAnsi="宋体" w:cs="黑体"/>
                <w:bCs/>
                <w:color w:val="auto"/>
                <w:kern w:val="0"/>
                <w:sz w:val="24"/>
                <w:szCs w:val="24"/>
              </w:rPr>
              <w:t>序号</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sz w:val="24"/>
                <w:szCs w:val="24"/>
              </w:rPr>
            </w:pPr>
            <w:r>
              <w:rPr>
                <w:rFonts w:hint="eastAsia" w:ascii="宋体" w:hAnsi="宋体" w:cs="黑体"/>
                <w:bCs/>
                <w:color w:val="auto"/>
                <w:kern w:val="0"/>
                <w:sz w:val="24"/>
                <w:szCs w:val="24"/>
              </w:rPr>
              <w:t>遴选包</w:t>
            </w:r>
          </w:p>
        </w:tc>
        <w:tc>
          <w:tcPr>
            <w:tcW w:w="1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kern w:val="0"/>
                <w:sz w:val="24"/>
                <w:szCs w:val="24"/>
              </w:rPr>
            </w:pPr>
            <w:r>
              <w:rPr>
                <w:rFonts w:hint="eastAsia" w:ascii="宋体" w:hAnsi="宋体" w:cs="黑体"/>
                <w:bCs/>
                <w:color w:val="auto"/>
                <w:kern w:val="0"/>
                <w:sz w:val="24"/>
                <w:szCs w:val="24"/>
              </w:rPr>
              <w:t>农业保险</w:t>
            </w:r>
          </w:p>
          <w:p>
            <w:pPr>
              <w:widowControl/>
              <w:jc w:val="center"/>
              <w:textAlignment w:val="center"/>
              <w:rPr>
                <w:rFonts w:ascii="宋体" w:hAnsi="宋体" w:cs="黑体"/>
                <w:bCs/>
                <w:color w:val="auto"/>
                <w:sz w:val="24"/>
                <w:szCs w:val="24"/>
              </w:rPr>
            </w:pPr>
            <w:r>
              <w:rPr>
                <w:rFonts w:hint="eastAsia" w:ascii="宋体" w:hAnsi="宋体" w:cs="黑体"/>
                <w:bCs/>
                <w:color w:val="auto"/>
                <w:kern w:val="0"/>
                <w:sz w:val="24"/>
                <w:szCs w:val="24"/>
              </w:rPr>
              <w:t>险种</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sz w:val="24"/>
                <w:szCs w:val="24"/>
              </w:rPr>
            </w:pPr>
            <w:r>
              <w:rPr>
                <w:rFonts w:hint="eastAsia" w:ascii="宋体" w:hAnsi="宋体" w:cs="黑体"/>
                <w:bCs/>
                <w:color w:val="auto"/>
                <w:kern w:val="0"/>
                <w:sz w:val="24"/>
                <w:szCs w:val="24"/>
              </w:rPr>
              <w:t>保险层级</w:t>
            </w:r>
          </w:p>
        </w:tc>
        <w:tc>
          <w:tcPr>
            <w:tcW w:w="1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sz w:val="24"/>
                <w:szCs w:val="24"/>
              </w:rPr>
            </w:pPr>
            <w:r>
              <w:rPr>
                <w:rFonts w:hint="eastAsia" w:ascii="宋体" w:hAnsi="宋体" w:cs="黑体"/>
                <w:bCs/>
                <w:color w:val="auto"/>
                <w:kern w:val="0"/>
                <w:sz w:val="24"/>
                <w:szCs w:val="24"/>
              </w:rPr>
              <w:t>单位保费</w:t>
            </w:r>
          </w:p>
        </w:tc>
        <w:tc>
          <w:tcPr>
            <w:tcW w:w="2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sz w:val="24"/>
                <w:szCs w:val="24"/>
              </w:rPr>
            </w:pPr>
            <w:r>
              <w:rPr>
                <w:rFonts w:hint="eastAsia" w:ascii="宋体" w:hAnsi="宋体" w:cs="黑体"/>
                <w:bCs/>
                <w:color w:val="auto"/>
                <w:kern w:val="0"/>
                <w:sz w:val="24"/>
                <w:szCs w:val="24"/>
              </w:rPr>
              <w:t>备注（行政区划）</w:t>
            </w:r>
          </w:p>
        </w:tc>
      </w:tr>
      <w:tr>
        <w:tblPrEx>
          <w:tblCellMar>
            <w:top w:w="0" w:type="dxa"/>
            <w:left w:w="0" w:type="dxa"/>
            <w:bottom w:w="0" w:type="dxa"/>
            <w:right w:w="0" w:type="dxa"/>
          </w:tblCellMar>
        </w:tblPrEx>
        <w:trPr>
          <w:trHeight w:val="1134"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kern w:val="0"/>
                <w:sz w:val="24"/>
                <w:szCs w:val="24"/>
              </w:rPr>
            </w:pPr>
            <w:r>
              <w:rPr>
                <w:rFonts w:hint="eastAsia" w:ascii="宋体" w:hAnsi="宋体" w:cs="黑体"/>
                <w:bCs/>
                <w:color w:val="auto"/>
                <w:kern w:val="0"/>
                <w:sz w:val="24"/>
                <w:szCs w:val="24"/>
              </w:rPr>
              <w:t>1</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kern w:val="0"/>
                <w:sz w:val="24"/>
                <w:szCs w:val="24"/>
              </w:rPr>
            </w:pPr>
            <w:r>
              <w:rPr>
                <w:rFonts w:hint="eastAsia" w:ascii="宋体" w:hAnsi="宋体" w:cs="仿宋_GB2312"/>
                <w:color w:val="auto"/>
                <w:kern w:val="0"/>
                <w:sz w:val="24"/>
                <w:szCs w:val="24"/>
              </w:rPr>
              <w:t>1包</w:t>
            </w:r>
          </w:p>
        </w:tc>
        <w:tc>
          <w:tcPr>
            <w:tcW w:w="1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r>
              <w:rPr>
                <w:rFonts w:hint="eastAsia" w:ascii="宋体" w:hAnsi="宋体" w:cs="仿宋_GB2312"/>
                <w:color w:val="auto"/>
                <w:kern w:val="0"/>
                <w:sz w:val="24"/>
                <w:szCs w:val="24"/>
              </w:rPr>
              <w:t>涵盖各级财政提供保费补贴的政策性农业保险</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r>
              <w:rPr>
                <w:rFonts w:hint="eastAsia" w:ascii="宋体" w:hAnsi="宋体" w:cs="仿宋_GB2312"/>
                <w:color w:val="auto"/>
                <w:kern w:val="0"/>
                <w:sz w:val="24"/>
                <w:szCs w:val="24"/>
              </w:rPr>
              <w:t>中央、自治区和县（区）</w:t>
            </w:r>
          </w:p>
        </w:tc>
        <w:tc>
          <w:tcPr>
            <w:tcW w:w="12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r>
              <w:rPr>
                <w:rFonts w:hint="eastAsia" w:ascii="宋体" w:hAnsi="宋体" w:cs="仿宋_GB2312"/>
                <w:color w:val="auto"/>
                <w:kern w:val="0"/>
                <w:sz w:val="24"/>
                <w:szCs w:val="24"/>
              </w:rPr>
              <w:t>依照自治区政策性农业保险标准执行</w:t>
            </w:r>
          </w:p>
        </w:tc>
        <w:tc>
          <w:tcPr>
            <w:tcW w:w="2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r>
              <w:rPr>
                <w:rFonts w:ascii="宋体" w:hAnsi="宋体" w:cs="仿宋_GB2312"/>
                <w:color w:val="auto"/>
                <w:kern w:val="0"/>
                <w:sz w:val="24"/>
                <w:szCs w:val="24"/>
              </w:rPr>
              <w:t>郑旗乡、三河镇、七营镇、甘城乡、李旺镇</w:t>
            </w:r>
            <w:r>
              <w:rPr>
                <w:rFonts w:hint="eastAsia" w:ascii="宋体" w:hAnsi="宋体" w:cs="仿宋_GB2312"/>
                <w:color w:val="auto"/>
                <w:kern w:val="0"/>
                <w:sz w:val="24"/>
                <w:szCs w:val="24"/>
              </w:rPr>
              <w:t>、</w:t>
            </w:r>
            <w:r>
              <w:rPr>
                <w:rFonts w:ascii="宋体" w:hAnsi="宋体" w:cs="仿宋_GB2312"/>
                <w:color w:val="auto"/>
                <w:kern w:val="0"/>
                <w:sz w:val="24"/>
                <w:szCs w:val="24"/>
              </w:rPr>
              <w:t>高崖乡、关桥乡</w:t>
            </w:r>
          </w:p>
        </w:tc>
      </w:tr>
      <w:tr>
        <w:tblPrEx>
          <w:tblCellMar>
            <w:top w:w="0" w:type="dxa"/>
            <w:left w:w="0" w:type="dxa"/>
            <w:bottom w:w="0" w:type="dxa"/>
            <w:right w:w="0" w:type="dxa"/>
          </w:tblCellMar>
        </w:tblPrEx>
        <w:trPr>
          <w:trHeight w:val="1134"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kern w:val="0"/>
                <w:sz w:val="24"/>
                <w:szCs w:val="24"/>
              </w:rPr>
            </w:pPr>
            <w:r>
              <w:rPr>
                <w:rFonts w:hint="eastAsia" w:ascii="宋体" w:hAnsi="宋体" w:cs="黑体"/>
                <w:bCs/>
                <w:color w:val="auto"/>
                <w:kern w:val="0"/>
                <w:sz w:val="24"/>
                <w:szCs w:val="24"/>
              </w:rPr>
              <w:t>2</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kern w:val="0"/>
                <w:sz w:val="24"/>
                <w:szCs w:val="24"/>
              </w:rPr>
            </w:pPr>
            <w:r>
              <w:rPr>
                <w:rFonts w:hint="eastAsia" w:ascii="宋体" w:hAnsi="宋体" w:cs="仿宋_GB2312"/>
                <w:color w:val="auto"/>
                <w:kern w:val="0"/>
                <w:sz w:val="24"/>
                <w:szCs w:val="24"/>
              </w:rPr>
              <w:t>2包</w:t>
            </w:r>
          </w:p>
        </w:tc>
        <w:tc>
          <w:tcPr>
            <w:tcW w:w="1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p>
        </w:tc>
        <w:tc>
          <w:tcPr>
            <w:tcW w:w="12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p>
        </w:tc>
        <w:tc>
          <w:tcPr>
            <w:tcW w:w="2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r>
              <w:rPr>
                <w:rFonts w:ascii="宋体" w:hAnsi="宋体" w:cs="仿宋_GB2312"/>
                <w:color w:val="auto"/>
                <w:kern w:val="0"/>
                <w:sz w:val="24"/>
                <w:szCs w:val="24"/>
              </w:rPr>
              <w:t>树台乡、西安镇、甘盐池</w:t>
            </w:r>
            <w:r>
              <w:rPr>
                <w:rFonts w:hint="eastAsia" w:ascii="宋体" w:hAnsi="宋体" w:cs="仿宋_GB2312"/>
                <w:color w:val="auto"/>
                <w:kern w:val="0"/>
                <w:sz w:val="24"/>
                <w:szCs w:val="24"/>
              </w:rPr>
              <w:t>、</w:t>
            </w:r>
            <w:r>
              <w:rPr>
                <w:rFonts w:ascii="宋体" w:hAnsi="宋体" w:cs="仿宋_GB2312"/>
                <w:color w:val="auto"/>
                <w:kern w:val="0"/>
                <w:sz w:val="24"/>
                <w:szCs w:val="24"/>
              </w:rPr>
              <w:t>海城镇</w:t>
            </w:r>
            <w:r>
              <w:rPr>
                <w:rFonts w:hint="eastAsia" w:ascii="宋体" w:hAnsi="宋体" w:cs="仿宋_GB2312"/>
                <w:color w:val="auto"/>
                <w:kern w:val="0"/>
                <w:sz w:val="24"/>
                <w:szCs w:val="24"/>
              </w:rPr>
              <w:t>、</w:t>
            </w:r>
            <w:r>
              <w:rPr>
                <w:rFonts w:ascii="宋体" w:hAnsi="宋体" w:cs="仿宋_GB2312"/>
                <w:color w:val="auto"/>
                <w:kern w:val="0"/>
                <w:sz w:val="24"/>
                <w:szCs w:val="24"/>
              </w:rPr>
              <w:t>史店乡、贾塘乡</w:t>
            </w:r>
          </w:p>
        </w:tc>
      </w:tr>
      <w:tr>
        <w:tblPrEx>
          <w:tblCellMar>
            <w:top w:w="0" w:type="dxa"/>
            <w:left w:w="0" w:type="dxa"/>
            <w:bottom w:w="0" w:type="dxa"/>
            <w:right w:w="0" w:type="dxa"/>
          </w:tblCellMar>
        </w:tblPrEx>
        <w:trPr>
          <w:trHeight w:val="1134"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kern w:val="0"/>
                <w:sz w:val="24"/>
                <w:szCs w:val="24"/>
              </w:rPr>
            </w:pPr>
            <w:r>
              <w:rPr>
                <w:rFonts w:hint="eastAsia" w:ascii="宋体" w:hAnsi="宋体" w:cs="黑体"/>
                <w:bCs/>
                <w:color w:val="auto"/>
                <w:kern w:val="0"/>
                <w:sz w:val="24"/>
                <w:szCs w:val="24"/>
              </w:rPr>
              <w:t>3</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Cs/>
                <w:color w:val="auto"/>
                <w:kern w:val="0"/>
                <w:sz w:val="24"/>
                <w:szCs w:val="24"/>
              </w:rPr>
            </w:pPr>
            <w:r>
              <w:rPr>
                <w:rFonts w:hint="eastAsia" w:ascii="宋体" w:hAnsi="宋体" w:cs="仿宋_GB2312"/>
                <w:color w:val="auto"/>
                <w:kern w:val="0"/>
                <w:sz w:val="24"/>
                <w:szCs w:val="24"/>
              </w:rPr>
              <w:t>3包</w:t>
            </w:r>
          </w:p>
        </w:tc>
        <w:tc>
          <w:tcPr>
            <w:tcW w:w="1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p>
        </w:tc>
        <w:tc>
          <w:tcPr>
            <w:tcW w:w="12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p>
        </w:tc>
        <w:tc>
          <w:tcPr>
            <w:tcW w:w="2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仿宋_GB2312"/>
                <w:color w:val="auto"/>
                <w:kern w:val="0"/>
                <w:sz w:val="24"/>
                <w:szCs w:val="24"/>
              </w:rPr>
            </w:pPr>
            <w:r>
              <w:rPr>
                <w:rFonts w:ascii="宋体" w:hAnsi="宋体" w:cs="仿宋_GB2312"/>
                <w:color w:val="auto"/>
                <w:kern w:val="0"/>
                <w:sz w:val="24"/>
                <w:szCs w:val="24"/>
              </w:rPr>
              <w:t>关庄乡、红羊乡、李俊乡、九彩乡、曹洼乡</w:t>
            </w:r>
          </w:p>
        </w:tc>
      </w:tr>
      <w:bookmarkEnd w:id="34"/>
    </w:tbl>
    <w:p>
      <w:pPr>
        <w:spacing w:line="360" w:lineRule="auto"/>
        <w:ind w:firstLine="560" w:firstLineChars="200"/>
        <w:rPr>
          <w:rFonts w:ascii="宋体" w:hAnsi="宋体"/>
          <w:color w:val="auto"/>
          <w:sz w:val="28"/>
          <w:szCs w:val="28"/>
        </w:rPr>
      </w:pPr>
    </w:p>
    <w:p>
      <w:pPr>
        <w:spacing w:line="360" w:lineRule="auto"/>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四</w:t>
      </w:r>
      <w:r>
        <w:rPr>
          <w:rFonts w:ascii="宋体" w:hAnsi="宋体"/>
          <w:color w:val="auto"/>
          <w:sz w:val="28"/>
          <w:szCs w:val="28"/>
        </w:rPr>
        <w:t>）优先选择权。按照参加遴选的承保机构评审得分排名顺序确定优先选择权。</w:t>
      </w:r>
      <w:r>
        <w:rPr>
          <w:rFonts w:hint="eastAsia" w:ascii="宋体" w:hAnsi="宋体"/>
          <w:color w:val="auto"/>
          <w:sz w:val="28"/>
          <w:szCs w:val="28"/>
        </w:rPr>
        <w:t>得分第一名承保机构从三个包中选择1个包，得分第二名承保机构在剩余2个包中选择1个包，得分第三名承保机构选择最后1个包，自愿放弃选择的由排名其次的承保机构递补选择。</w:t>
      </w:r>
    </w:p>
    <w:p>
      <w:pPr>
        <w:spacing w:line="360" w:lineRule="auto"/>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五</w:t>
      </w:r>
      <w:r>
        <w:rPr>
          <w:rFonts w:ascii="宋体" w:hAnsi="宋体"/>
          <w:color w:val="auto"/>
          <w:sz w:val="28"/>
          <w:szCs w:val="28"/>
        </w:rPr>
        <w:t>）服务期限。</w:t>
      </w:r>
      <w:r>
        <w:rPr>
          <w:rFonts w:hint="eastAsia" w:ascii="宋体" w:hAnsi="宋体"/>
          <w:color w:val="auto"/>
          <w:sz w:val="28"/>
          <w:szCs w:val="28"/>
        </w:rPr>
        <w:t>2022年1月1日</w:t>
      </w:r>
      <w:r>
        <w:rPr>
          <w:rFonts w:hint="eastAsia" w:ascii="宋体" w:hAnsi="宋体" w:cs="宋体"/>
          <w:color w:val="auto"/>
          <w:sz w:val="28"/>
          <w:szCs w:val="28"/>
        </w:rPr>
        <w:t>－</w:t>
      </w:r>
      <w:r>
        <w:rPr>
          <w:rFonts w:hint="eastAsia" w:ascii="宋体" w:hAnsi="宋体"/>
          <w:color w:val="auto"/>
          <w:sz w:val="28"/>
          <w:szCs w:val="28"/>
        </w:rPr>
        <w:t>2024年12月31日，有效期为3年。承保机构在服务期内，如因开展政策性农业保险违规违法、农业保险绩效考核不合格、受到相关部门处罚等，按照政策性农业保险保费补贴管理办法等有关规定，取消中选承保机构政策性农业保险承保资格，由其他符合条件的承保机构依次递补承接。经营服务期限内，对出现政策调整、增开新型险种及因违规违法取消政策性农业保险承保资格等情况，由其他符合条件的承保机构依次递补承接。</w:t>
      </w:r>
    </w:p>
    <w:p>
      <w:pPr>
        <w:spacing w:line="360" w:lineRule="auto"/>
        <w:ind w:firstLine="560" w:firstLineChars="200"/>
        <w:rPr>
          <w:rFonts w:ascii="宋体" w:hAnsi="宋体"/>
          <w:color w:val="auto"/>
          <w:sz w:val="28"/>
          <w:szCs w:val="28"/>
        </w:rPr>
      </w:pPr>
      <w:r>
        <w:rPr>
          <w:rFonts w:ascii="宋体" w:hAnsi="宋体"/>
          <w:color w:val="auto"/>
          <w:sz w:val="28"/>
          <w:szCs w:val="28"/>
        </w:rPr>
        <w:t>（六）</w:t>
      </w:r>
      <w:r>
        <w:rPr>
          <w:rFonts w:hint="eastAsia" w:ascii="宋体" w:hAnsi="宋体"/>
          <w:color w:val="auto"/>
          <w:sz w:val="28"/>
          <w:szCs w:val="28"/>
        </w:rPr>
        <w:t>经营服务期限内，对出现政策调整、增开新型险种及因违规违法取消政策性农业保险承保资格等情况，不再另行遴选承保机构，由其他符合条件的承保机构依次递补承接。</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w:t>
      </w:r>
      <w:r>
        <w:rPr>
          <w:rFonts w:ascii="宋体" w:hAnsi="宋体"/>
          <w:color w:val="auto"/>
          <w:sz w:val="28"/>
          <w:szCs w:val="28"/>
        </w:rPr>
        <w:t>、</w:t>
      </w:r>
      <w:r>
        <w:rPr>
          <w:rFonts w:ascii="宋体" w:hAnsi="宋体"/>
          <w:color w:val="auto"/>
          <w:kern w:val="0"/>
          <w:sz w:val="28"/>
          <w:szCs w:val="28"/>
          <w:shd w:val="clear" w:color="auto" w:fill="FFFFFF"/>
        </w:rPr>
        <w:t>承保机构遴选条件</w:t>
      </w:r>
    </w:p>
    <w:p>
      <w:pPr>
        <w:widowControl/>
        <w:spacing w:line="360" w:lineRule="auto"/>
        <w:ind w:firstLine="640"/>
        <w:rPr>
          <w:rFonts w:ascii="宋体" w:hAnsi="宋体"/>
          <w:color w:val="auto"/>
          <w:sz w:val="28"/>
          <w:szCs w:val="28"/>
        </w:rPr>
      </w:pPr>
      <w:r>
        <w:rPr>
          <w:rFonts w:ascii="宋体" w:hAnsi="宋体"/>
          <w:color w:val="auto"/>
          <w:kern w:val="0"/>
          <w:sz w:val="28"/>
          <w:szCs w:val="28"/>
          <w:shd w:val="clear" w:color="auto" w:fill="FFFFFF"/>
        </w:rPr>
        <w:t>（一）</w:t>
      </w:r>
      <w:r>
        <w:rPr>
          <w:rFonts w:hint="eastAsia" w:ascii="宋体" w:hAnsi="宋体"/>
          <w:color w:val="auto"/>
          <w:kern w:val="0"/>
          <w:sz w:val="28"/>
          <w:szCs w:val="28"/>
          <w:shd w:val="clear" w:color="auto" w:fill="FFFFFF"/>
        </w:rPr>
        <w:t>承保机构遴选突出以服务能力、合规经营能力、风险管控能力等为基本导向和前提，坚持规范有序、适度竞争。遴选应以评审结果为导向，满足中央及自治区农业保险财政补贴资金区域绩效目标有关要求。</w:t>
      </w:r>
    </w:p>
    <w:p>
      <w:pPr>
        <w:widowControl/>
        <w:spacing w:line="360" w:lineRule="auto"/>
        <w:ind w:firstLine="640"/>
        <w:rPr>
          <w:rFonts w:ascii="宋体" w:hAnsi="宋体"/>
          <w:color w:val="auto"/>
          <w:sz w:val="28"/>
          <w:szCs w:val="28"/>
        </w:rPr>
      </w:pPr>
      <w:r>
        <w:rPr>
          <w:rFonts w:ascii="宋体" w:hAnsi="宋体"/>
          <w:color w:val="auto"/>
          <w:kern w:val="0"/>
          <w:sz w:val="28"/>
          <w:szCs w:val="28"/>
          <w:shd w:val="clear" w:color="auto" w:fill="FFFFFF"/>
        </w:rPr>
        <w:t>（二）参与遴选的承保机构应满足以下条件：</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1.符合《中华人民共和国保险法》《农业保险条例》等法律法规规定；</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2.有专门的农业保险管理部门，至少配备5名农业保险等相关专业人员，具有较强的核损理赔和风险管理能力；</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3.具有完善的农业保险大灾风险分散机制；</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4.具有完善的基层（乡镇级）服务网络及服务站点（村级）；</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5.信息化建设满足业务管理要求，能够按要求与中国农业再保险股份有限公司（以下简称“中国农再”）约定分保业务信息系统进行对接；能够按照相关要求与宁夏农业保险补贴与管理平台实现对接；</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6.承保机构总公司已与中国农再签署当期有效的《政策性农业保险再保险标准协议》，双方可协商对有关条款进行调整；</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7.具备完善的农业保险管理制度体系，内控管理良好，近3年内未因农业保险业务受到重大行政处罚；</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8.具有充足的偿付能力，综合偿付能力充足率应大于1.5倍，综合费用率应控制在20%以内；</w:t>
      </w:r>
    </w:p>
    <w:p>
      <w:pPr>
        <w:spacing w:line="360" w:lineRule="auto"/>
        <w:ind w:firstLine="560" w:firstLineChars="200"/>
        <w:rPr>
          <w:rFonts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9.符合财政部和自治区规定的其他条件；</w:t>
      </w:r>
    </w:p>
    <w:p>
      <w:pPr>
        <w:spacing w:line="360" w:lineRule="auto"/>
        <w:ind w:firstLine="560" w:firstLineChars="200"/>
        <w:rPr>
          <w:rFonts w:ascii="宋体" w:hAnsi="宋体"/>
          <w:color w:val="auto"/>
          <w:sz w:val="28"/>
          <w:szCs w:val="28"/>
        </w:rPr>
      </w:pPr>
      <w:r>
        <w:rPr>
          <w:rFonts w:hint="eastAsia" w:ascii="宋体" w:hAnsi="宋体"/>
          <w:color w:val="auto"/>
          <w:kern w:val="0"/>
          <w:sz w:val="28"/>
          <w:szCs w:val="28"/>
          <w:shd w:val="clear" w:color="auto" w:fill="FFFFFF"/>
        </w:rPr>
        <w:t>10.本遴选事项不接受联合体遴选。</w:t>
      </w:r>
    </w:p>
    <w:p>
      <w:pPr>
        <w:pStyle w:val="3"/>
        <w:spacing w:line="240" w:lineRule="auto"/>
        <w:jc w:val="center"/>
        <w:rPr>
          <w:rFonts w:hint="eastAsia" w:ascii="宋体" w:hAnsi="宋体" w:eastAsia="宋体" w:cs="Arial"/>
          <w:color w:val="auto"/>
          <w:sz w:val="36"/>
          <w:szCs w:val="36"/>
        </w:rPr>
      </w:pPr>
      <w:bookmarkStart w:id="35" w:name="_Toc16231"/>
    </w:p>
    <w:p>
      <w:pPr>
        <w:pStyle w:val="3"/>
        <w:spacing w:line="240" w:lineRule="auto"/>
        <w:jc w:val="center"/>
        <w:rPr>
          <w:rFonts w:hint="eastAsia" w:ascii="宋体" w:hAnsi="宋体" w:eastAsia="宋体" w:cs="Arial"/>
          <w:color w:val="auto"/>
          <w:sz w:val="36"/>
          <w:szCs w:val="36"/>
        </w:rPr>
      </w:pPr>
      <w:r>
        <w:rPr>
          <w:rFonts w:hint="eastAsia" w:ascii="宋体" w:hAnsi="宋体" w:eastAsia="宋体" w:cs="Arial"/>
          <w:color w:val="auto"/>
          <w:sz w:val="36"/>
          <w:szCs w:val="36"/>
        </w:rPr>
        <w:t>五、遴选评选标准</w:t>
      </w:r>
      <w:bookmarkEnd w:id="35"/>
    </w:p>
    <w:p>
      <w:pPr>
        <w:rPr>
          <w:color w:val="auto"/>
        </w:rPr>
      </w:pPr>
    </w:p>
    <w:p>
      <w:pPr>
        <w:tabs>
          <w:tab w:val="left" w:pos="8280"/>
        </w:tabs>
        <w:spacing w:beforeLines="100" w:line="360" w:lineRule="auto"/>
        <w:ind w:firstLine="562" w:firstLineChars="200"/>
        <w:rPr>
          <w:rFonts w:hint="eastAsia" w:cs="宋体" w:asciiTheme="minorEastAsia" w:hAnsiTheme="minorEastAsia" w:eastAsiaTheme="minorEastAsia"/>
          <w:b w:val="0"/>
          <w:bCs/>
          <w:color w:val="auto"/>
          <w:sz w:val="28"/>
          <w:szCs w:val="28"/>
        </w:rPr>
      </w:pPr>
      <w:r>
        <w:rPr>
          <w:rFonts w:hint="eastAsia" w:asciiTheme="minorEastAsia" w:hAnsiTheme="minorEastAsia" w:eastAsiaTheme="minorEastAsia"/>
          <w:b/>
          <w:color w:val="auto"/>
          <w:sz w:val="28"/>
          <w:szCs w:val="28"/>
        </w:rPr>
        <w:t>1、计分标准</w:t>
      </w:r>
      <w:r>
        <w:rPr>
          <w:rFonts w:hint="eastAsia" w:asciiTheme="minorEastAsia" w:hAnsiTheme="minorEastAsia" w:eastAsiaTheme="minorEastAsia"/>
          <w:b/>
          <w:color w:val="auto"/>
          <w:sz w:val="28"/>
          <w:szCs w:val="28"/>
          <w:lang w:eastAsia="zh-CN"/>
        </w:rPr>
        <w:t>：</w:t>
      </w:r>
      <w:r>
        <w:rPr>
          <w:rFonts w:hint="eastAsia" w:cs="宋体" w:asciiTheme="minorEastAsia" w:hAnsiTheme="minorEastAsia" w:eastAsiaTheme="minorEastAsia"/>
          <w:b w:val="0"/>
          <w:bCs/>
          <w:color w:val="auto"/>
          <w:sz w:val="28"/>
          <w:szCs w:val="28"/>
          <w:lang w:val="en-US" w:eastAsia="zh-CN"/>
        </w:rPr>
        <w:t>评审按百分制计分，总得分为服务能力、机构实力、风险管控、合规经营和附加指标的五项综合得分。</w:t>
      </w:r>
    </w:p>
    <w:p>
      <w:pPr>
        <w:tabs>
          <w:tab w:val="left" w:pos="8280"/>
        </w:tabs>
        <w:spacing w:beforeLines="100" w:line="360" w:lineRule="auto"/>
        <w:ind w:firstLine="562" w:firstLineChars="200"/>
        <w:rPr>
          <w:rFonts w:cs="宋体" w:asciiTheme="minorEastAsia" w:hAnsiTheme="minorEastAsia" w:eastAsiaTheme="minorEastAsia"/>
          <w:b w:val="0"/>
          <w:bCs w:val="0"/>
          <w:color w:val="auto"/>
          <w:sz w:val="28"/>
          <w:szCs w:val="28"/>
        </w:rPr>
      </w:pPr>
      <w:r>
        <w:rPr>
          <w:rFonts w:hint="eastAsia" w:cs="宋体" w:asciiTheme="minorEastAsia" w:hAnsiTheme="minorEastAsia" w:eastAsiaTheme="minorEastAsia"/>
          <w:b/>
          <w:color w:val="auto"/>
          <w:sz w:val="28"/>
          <w:szCs w:val="28"/>
        </w:rPr>
        <w:t>2、评分说明：</w:t>
      </w:r>
      <w:r>
        <w:rPr>
          <w:rFonts w:hint="eastAsia" w:cs="宋体" w:asciiTheme="minorEastAsia" w:hAnsiTheme="minorEastAsia" w:eastAsiaTheme="minorEastAsia"/>
          <w:b w:val="0"/>
          <w:bCs w:val="0"/>
          <w:color w:val="auto"/>
          <w:sz w:val="28"/>
          <w:szCs w:val="28"/>
        </w:rPr>
        <w:t>此次遴选整体定标，满分为100分。</w:t>
      </w:r>
    </w:p>
    <w:p>
      <w:pPr>
        <w:snapToGrid w:val="0"/>
        <w:spacing w:beforeLines="100" w:line="360" w:lineRule="auto"/>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3、评审方法：</w:t>
      </w:r>
    </w:p>
    <w:p>
      <w:pPr>
        <w:spacing w:line="360" w:lineRule="auto"/>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color w:val="auto"/>
          <w:sz w:val="28"/>
          <w:szCs w:val="28"/>
        </w:rPr>
        <w:t>3.1</w:t>
      </w:r>
      <w:r>
        <w:rPr>
          <w:rFonts w:hint="eastAsia" w:cs="宋体" w:asciiTheme="minorEastAsia" w:hAnsiTheme="minorEastAsia" w:eastAsiaTheme="minorEastAsia"/>
          <w:bCs/>
          <w:color w:val="auto"/>
          <w:sz w:val="28"/>
          <w:szCs w:val="28"/>
        </w:rPr>
        <w:t>本次评审采取</w:t>
      </w:r>
      <w:r>
        <w:rPr>
          <w:rFonts w:hint="eastAsia" w:cs="宋体" w:asciiTheme="minorEastAsia" w:hAnsiTheme="minorEastAsia" w:eastAsiaTheme="minorEastAsia"/>
          <w:b w:val="0"/>
          <w:bCs/>
          <w:color w:val="auto"/>
          <w:sz w:val="28"/>
          <w:szCs w:val="28"/>
        </w:rPr>
        <w:t>综合评分法。结</w:t>
      </w:r>
      <w:r>
        <w:rPr>
          <w:rFonts w:hint="eastAsia" w:cs="宋体" w:asciiTheme="minorEastAsia" w:hAnsiTheme="minorEastAsia" w:eastAsiaTheme="minorEastAsia"/>
          <w:color w:val="auto"/>
          <w:sz w:val="28"/>
          <w:szCs w:val="28"/>
        </w:rPr>
        <w:t>果按评审后得分由高到低顺序排名。</w:t>
      </w:r>
      <w:r>
        <w:rPr>
          <w:rFonts w:hint="eastAsia" w:cs="宋体" w:asciiTheme="minorEastAsia" w:hAnsiTheme="minorEastAsia" w:eastAsiaTheme="minorEastAsia"/>
          <w:color w:val="auto"/>
          <w:sz w:val="28"/>
          <w:szCs w:val="28"/>
          <w:u w:val="none"/>
        </w:rPr>
        <w:t>总分相同的，按服务能力、服务业绩、管理水平的得分依次由高到低顺序排名，根据排名先后顺序确定优先选择权</w:t>
      </w:r>
      <w:r>
        <w:rPr>
          <w:rFonts w:hint="eastAsia" w:cs="宋体" w:asciiTheme="minorEastAsia" w:hAnsiTheme="minorEastAsia" w:eastAsiaTheme="minorEastAsia"/>
          <w:b/>
          <w:color w:val="auto"/>
          <w:sz w:val="28"/>
          <w:szCs w:val="28"/>
          <w:u w:val="none"/>
        </w:rPr>
        <w:t>。</w:t>
      </w:r>
    </w:p>
    <w:p>
      <w:pPr>
        <w:spacing w:line="360" w:lineRule="auto"/>
        <w:ind w:firstLine="562" w:firstLineChars="200"/>
        <w:rPr>
          <w:rFonts w:cs="宋体" w:asciiTheme="minorEastAsia" w:hAnsiTheme="minorEastAsia" w:eastAsiaTheme="minorEastAsia"/>
          <w:b/>
          <w:bCs/>
          <w:color w:val="auto"/>
          <w:sz w:val="28"/>
          <w:szCs w:val="28"/>
        </w:rPr>
      </w:pPr>
      <w:r>
        <w:rPr>
          <w:rFonts w:hint="eastAsia" w:cs="宋体" w:asciiTheme="minorEastAsia" w:hAnsiTheme="minorEastAsia" w:eastAsiaTheme="minorEastAsia"/>
          <w:b/>
          <w:color w:val="auto"/>
          <w:sz w:val="28"/>
          <w:szCs w:val="28"/>
        </w:rPr>
        <w:t>3.2 评审因素：</w:t>
      </w:r>
    </w:p>
    <w:p>
      <w:pPr>
        <w:spacing w:line="360" w:lineRule="auto"/>
        <w:ind w:firstLine="48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综合评分法主要因素有服务能力、服务业绩、管理水平等。</w:t>
      </w:r>
    </w:p>
    <w:p>
      <w:pPr>
        <w:spacing w:line="360" w:lineRule="auto"/>
        <w:ind w:firstLine="480"/>
        <w:rPr>
          <w:rFonts w:cs="宋体" w:asciiTheme="minorEastAsia" w:hAnsiTheme="minorEastAsia" w:eastAsiaTheme="minorEastAsia"/>
          <w:color w:val="auto"/>
          <w:sz w:val="28"/>
          <w:szCs w:val="28"/>
        </w:rPr>
      </w:pPr>
      <w:r>
        <w:rPr>
          <w:rFonts w:hint="eastAsia" w:cs="宋体" w:asciiTheme="minorEastAsia" w:hAnsiTheme="minorEastAsia" w:eastAsiaTheme="minorEastAsia"/>
          <w:b/>
          <w:bCs/>
          <w:color w:val="auto"/>
          <w:sz w:val="28"/>
          <w:szCs w:val="28"/>
        </w:rPr>
        <w:t>4、</w:t>
      </w:r>
      <w:r>
        <w:rPr>
          <w:rFonts w:hint="eastAsia" w:asciiTheme="minorEastAsia" w:hAnsiTheme="minorEastAsia" w:eastAsiaTheme="minorEastAsia"/>
          <w:b/>
          <w:color w:val="auto"/>
          <w:sz w:val="28"/>
          <w:szCs w:val="28"/>
        </w:rPr>
        <w:t xml:space="preserve">中选承保机构 </w:t>
      </w:r>
    </w:p>
    <w:p>
      <w:pPr>
        <w:spacing w:line="360" w:lineRule="auto"/>
        <w:ind w:firstLine="560" w:firstLineChars="200"/>
        <w:rPr>
          <w:rFonts w:cs="宋体" w:asciiTheme="minorEastAsia" w:hAnsiTheme="minorEastAsia" w:eastAsiaTheme="minorEastAsia"/>
          <w:b/>
          <w:color w:val="auto"/>
          <w:sz w:val="28"/>
          <w:szCs w:val="28"/>
        </w:rPr>
      </w:pPr>
      <w:r>
        <w:rPr>
          <w:rFonts w:hint="eastAsia" w:asciiTheme="minorEastAsia" w:hAnsiTheme="minorEastAsia" w:eastAsiaTheme="minorEastAsia"/>
          <w:bCs/>
          <w:color w:val="auto"/>
          <w:sz w:val="28"/>
          <w:szCs w:val="28"/>
        </w:rPr>
        <w:t>4.1将评审后得分由高到低分别进行排序。</w:t>
      </w:r>
    </w:p>
    <w:p>
      <w:pPr>
        <w:spacing w:line="360" w:lineRule="auto"/>
        <w:ind w:firstLine="560" w:firstLineChars="200"/>
        <w:rPr>
          <w:rFonts w:hint="eastAsia" w:ascii="宋体" w:hAnsi="宋体"/>
          <w:color w:val="auto"/>
          <w:kern w:val="0"/>
          <w:sz w:val="28"/>
          <w:szCs w:val="28"/>
          <w:shd w:val="clear" w:color="auto" w:fill="FFFFFF"/>
        </w:rPr>
      </w:pPr>
      <w:r>
        <w:rPr>
          <w:rFonts w:hint="eastAsia" w:ascii="宋体" w:hAnsi="宋体"/>
          <w:color w:val="auto"/>
          <w:kern w:val="0"/>
          <w:sz w:val="28"/>
          <w:szCs w:val="28"/>
          <w:shd w:val="clear" w:color="auto" w:fill="FFFFFF"/>
        </w:rPr>
        <w:t>4.2将排序在前的申请人为中选承保机构，本次遴选推荐的中选人数量为3家承保机构。</w:t>
      </w:r>
    </w:p>
    <w:p>
      <w:pPr>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br w:type="page"/>
      </w:r>
    </w:p>
    <w:tbl>
      <w:tblPr>
        <w:tblStyle w:val="41"/>
        <w:tblpPr w:leftFromText="180" w:rightFromText="180" w:vertAnchor="text" w:horzAnchor="page" w:tblpX="1646" w:tblpY="45"/>
        <w:tblOverlap w:val="never"/>
        <w:tblW w:w="8862" w:type="dxa"/>
        <w:tblInd w:w="0" w:type="dxa"/>
        <w:tblLayout w:type="fixed"/>
        <w:tblCellMar>
          <w:top w:w="0" w:type="dxa"/>
          <w:left w:w="108" w:type="dxa"/>
          <w:bottom w:w="0" w:type="dxa"/>
          <w:right w:w="108" w:type="dxa"/>
        </w:tblCellMar>
      </w:tblPr>
      <w:tblGrid>
        <w:gridCol w:w="493"/>
        <w:gridCol w:w="683"/>
        <w:gridCol w:w="797"/>
        <w:gridCol w:w="842"/>
        <w:gridCol w:w="427"/>
        <w:gridCol w:w="3329"/>
        <w:gridCol w:w="2291"/>
      </w:tblGrid>
      <w:tr>
        <w:tblPrEx>
          <w:tblCellMar>
            <w:top w:w="0" w:type="dxa"/>
            <w:left w:w="108" w:type="dxa"/>
            <w:bottom w:w="0" w:type="dxa"/>
            <w:right w:w="108" w:type="dxa"/>
          </w:tblCellMar>
        </w:tblPrEx>
        <w:trPr>
          <w:trHeight w:val="66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方正书宋_GBK"/>
                <w:b/>
                <w:bCs/>
                <w:color w:val="auto"/>
                <w:szCs w:val="21"/>
              </w:rPr>
            </w:pPr>
            <w:r>
              <w:rPr>
                <w:rFonts w:ascii="宋体" w:hAnsi="宋体" w:cs="方正书宋_GBK"/>
                <w:b/>
                <w:bCs/>
                <w:color w:val="auto"/>
                <w:kern w:val="0"/>
                <w:szCs w:val="21"/>
              </w:rPr>
              <w:t>序号</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方正书宋_GBK"/>
                <w:b/>
                <w:bCs/>
                <w:color w:val="auto"/>
                <w:szCs w:val="21"/>
              </w:rPr>
            </w:pPr>
            <w:r>
              <w:rPr>
                <w:rFonts w:ascii="宋体" w:hAnsi="宋体" w:cs="方正书宋_GBK"/>
                <w:b/>
                <w:bCs/>
                <w:color w:val="auto"/>
                <w:kern w:val="0"/>
                <w:szCs w:val="21"/>
              </w:rPr>
              <w:t>一级</w:t>
            </w:r>
            <w:r>
              <w:rPr>
                <w:rFonts w:ascii="宋体" w:hAnsi="宋体" w:cs="方正书宋_GBK"/>
                <w:b/>
                <w:bCs/>
                <w:color w:val="auto"/>
                <w:kern w:val="0"/>
                <w:szCs w:val="21"/>
              </w:rPr>
              <w:br w:type="textWrapping"/>
            </w:r>
            <w:r>
              <w:rPr>
                <w:rFonts w:ascii="宋体" w:hAnsi="宋体" w:cs="方正书宋_GBK"/>
                <w:b/>
                <w:bCs/>
                <w:color w:val="auto"/>
                <w:kern w:val="0"/>
                <w:szCs w:val="21"/>
              </w:rPr>
              <w:t>指标</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方正书宋_GBK"/>
                <w:b/>
                <w:bCs/>
                <w:color w:val="auto"/>
                <w:szCs w:val="21"/>
              </w:rPr>
            </w:pPr>
            <w:r>
              <w:rPr>
                <w:rFonts w:ascii="宋体" w:hAnsi="宋体" w:cs="方正书宋_GBK"/>
                <w:b/>
                <w:bCs/>
                <w:color w:val="auto"/>
                <w:kern w:val="0"/>
                <w:szCs w:val="21"/>
              </w:rPr>
              <w:t>二级</w:t>
            </w:r>
            <w:r>
              <w:rPr>
                <w:rFonts w:ascii="宋体" w:hAnsi="宋体" w:cs="方正书宋_GBK"/>
                <w:b/>
                <w:bCs/>
                <w:color w:val="auto"/>
                <w:kern w:val="0"/>
                <w:szCs w:val="21"/>
              </w:rPr>
              <w:br w:type="textWrapping"/>
            </w:r>
            <w:r>
              <w:rPr>
                <w:rFonts w:ascii="宋体" w:hAnsi="宋体" w:cs="方正书宋_GBK"/>
                <w:b/>
                <w:bCs/>
                <w:color w:val="auto"/>
                <w:kern w:val="0"/>
                <w:szCs w:val="21"/>
              </w:rPr>
              <w:t>指标</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方正书宋_GBK"/>
                <w:b/>
                <w:bCs/>
                <w:color w:val="auto"/>
                <w:szCs w:val="21"/>
              </w:rPr>
            </w:pPr>
            <w:r>
              <w:rPr>
                <w:rFonts w:ascii="宋体" w:hAnsi="宋体" w:cs="方正书宋_GBK"/>
                <w:b/>
                <w:bCs/>
                <w:color w:val="auto"/>
                <w:kern w:val="0"/>
                <w:szCs w:val="21"/>
              </w:rPr>
              <w:t>三级</w:t>
            </w:r>
            <w:r>
              <w:rPr>
                <w:rFonts w:ascii="宋体" w:hAnsi="宋体" w:cs="方正书宋_GBK"/>
                <w:b/>
                <w:bCs/>
                <w:color w:val="auto"/>
                <w:kern w:val="0"/>
                <w:szCs w:val="21"/>
              </w:rPr>
              <w:br w:type="textWrapping"/>
            </w:r>
            <w:r>
              <w:rPr>
                <w:rFonts w:ascii="宋体" w:hAnsi="宋体" w:cs="方正书宋_GBK"/>
                <w:b/>
                <w:bCs/>
                <w:color w:val="auto"/>
                <w:kern w:val="0"/>
                <w:szCs w:val="21"/>
              </w:rPr>
              <w:t>指标</w:t>
            </w: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方正书宋_GBK"/>
                <w:b/>
                <w:bCs/>
                <w:color w:val="auto"/>
                <w:szCs w:val="21"/>
              </w:rPr>
            </w:pPr>
            <w:r>
              <w:rPr>
                <w:rFonts w:ascii="宋体" w:hAnsi="宋体" w:cs="方正书宋_GBK"/>
                <w:b/>
                <w:bCs/>
                <w:color w:val="auto"/>
                <w:kern w:val="0"/>
                <w:szCs w:val="21"/>
              </w:rPr>
              <w:t>分值</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方正书宋_GBK"/>
                <w:b/>
                <w:bCs/>
                <w:color w:val="auto"/>
                <w:szCs w:val="21"/>
              </w:rPr>
            </w:pPr>
            <w:r>
              <w:rPr>
                <w:rFonts w:ascii="宋体" w:hAnsi="宋体" w:cs="方正书宋_GBK"/>
                <w:b/>
                <w:bCs/>
                <w:color w:val="auto"/>
                <w:kern w:val="0"/>
                <w:szCs w:val="21"/>
              </w:rPr>
              <w:t>评  分 标  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方正书宋_GBK"/>
                <w:b/>
                <w:bCs/>
                <w:color w:val="auto"/>
                <w:szCs w:val="21"/>
              </w:rPr>
            </w:pPr>
            <w:r>
              <w:rPr>
                <w:rFonts w:ascii="宋体" w:hAnsi="宋体" w:cs="方正书宋_GBK"/>
                <w:b/>
                <w:bCs/>
                <w:color w:val="auto"/>
                <w:kern w:val="0"/>
                <w:szCs w:val="21"/>
              </w:rPr>
              <w:t>评  分  说  明</w:t>
            </w:r>
          </w:p>
        </w:tc>
      </w:tr>
      <w:tr>
        <w:tblPrEx>
          <w:tblCellMar>
            <w:top w:w="0" w:type="dxa"/>
            <w:left w:w="108" w:type="dxa"/>
            <w:bottom w:w="0" w:type="dxa"/>
            <w:right w:w="108" w:type="dxa"/>
          </w:tblCellMar>
        </w:tblPrEx>
        <w:trPr>
          <w:trHeight w:val="110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w:t>
            </w:r>
          </w:p>
        </w:tc>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服务能力（43分）</w:t>
            </w:r>
          </w:p>
        </w:tc>
        <w:tc>
          <w:tcPr>
            <w:tcW w:w="7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服务网络(站点)（10分）</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海原县机构设置</w:t>
            </w: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在海原县内设立县分支机构及以上级别分支机构的计5分；未设立分支机构的不得分。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提供宁夏银保监局批准设立的《经营保险业务许可证》及《营业执照》扫描件。</w:t>
            </w:r>
          </w:p>
        </w:tc>
      </w:tr>
      <w:tr>
        <w:tblPrEx>
          <w:tblCellMar>
            <w:top w:w="0" w:type="dxa"/>
            <w:left w:w="108" w:type="dxa"/>
            <w:bottom w:w="0" w:type="dxa"/>
            <w:right w:w="108" w:type="dxa"/>
          </w:tblCellMar>
        </w:tblPrEx>
        <w:trPr>
          <w:trHeight w:val="162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2</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乡镇、村级机构设置</w:t>
            </w: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考察在海原县设有乡镇、村级农业保险服务网点情况。以参加遴选的承保机构海原县内设立乡镇、村级农业保险服务点最多数量为评审基准值，该承保机构得满分。其他参加遴选的承保机构该项得分＝其他参加遴选的承保机构乡镇、村级农业保险服务点数量/评审基准值×5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提供乡镇政府或县级农业保险工作小组出具的机构设立证明、协议等相关证明复印件 。</w:t>
            </w:r>
          </w:p>
        </w:tc>
      </w:tr>
      <w:tr>
        <w:tblPrEx>
          <w:tblCellMar>
            <w:top w:w="0" w:type="dxa"/>
            <w:left w:w="108" w:type="dxa"/>
            <w:bottom w:w="0" w:type="dxa"/>
            <w:right w:w="108" w:type="dxa"/>
          </w:tblCellMar>
        </w:tblPrEx>
        <w:trPr>
          <w:trHeight w:val="98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3</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政策宣传（5分）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县级分支机构及上级机构开展多种形式的农业保险政策宣传，形式最多的计5分；少一次扣0.5分，扣完为止。</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提供开展农业保险政策宣传形式的网址、截图及相关证明材料。</w:t>
            </w:r>
          </w:p>
        </w:tc>
      </w:tr>
      <w:tr>
        <w:tblPrEx>
          <w:tblCellMar>
            <w:top w:w="0" w:type="dxa"/>
            <w:left w:w="108" w:type="dxa"/>
            <w:bottom w:w="0" w:type="dxa"/>
            <w:right w:w="108" w:type="dxa"/>
          </w:tblCellMar>
        </w:tblPrEx>
        <w:trPr>
          <w:trHeight w:val="248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4</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专业人员（5分）</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正式人员配备</w:t>
            </w: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在海原县配备有专业农险人员。以参加遴选的承保机构专业农险人员最多数量为评审基准值，该承保机构得满分。其他参加遴选的承保机构得分=其他参加遴选的承保机构专业农险人员数量/评审基准值×5分。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为承保机构县域内专职从事农业保险的正式员工。需提供加盖参加遴选的承保机构省公司公章的专业农险人员名单，承保机构需提供10月份与员工签订的正式劳动合同及人社部门提供的社保缴纳证明。如发现在不同遴选地区重复使用同一人员信息，则认定为虚假，遴选地区中选资格作废。</w:t>
            </w:r>
          </w:p>
        </w:tc>
      </w:tr>
      <w:tr>
        <w:tblPrEx>
          <w:tblCellMar>
            <w:top w:w="0" w:type="dxa"/>
            <w:left w:w="108" w:type="dxa"/>
            <w:bottom w:w="0" w:type="dxa"/>
            <w:right w:w="108" w:type="dxa"/>
          </w:tblCellMar>
        </w:tblPrEx>
        <w:trPr>
          <w:trHeight w:val="156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承办经验（5分）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以参与遴选的保险机构及上级机构所提供的承保农业保险经验数量最多为评审基准值，经评委一致认同后该承保机构得满分。其他参加遴选的承保机构得分＝其他参加遴选的承保机构经验数量/评审基准值×5分。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参与遴选的保险机构及上级机构需提供承保农业保险经验证明材料。</w:t>
            </w:r>
          </w:p>
        </w:tc>
      </w:tr>
      <w:tr>
        <w:tblPrEx>
          <w:tblCellMar>
            <w:top w:w="0" w:type="dxa"/>
            <w:left w:w="108" w:type="dxa"/>
            <w:bottom w:w="0" w:type="dxa"/>
            <w:right w:w="108" w:type="dxa"/>
          </w:tblCellMar>
        </w:tblPrEx>
        <w:trPr>
          <w:trHeight w:val="545"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6</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产品创新（8分）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8</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以参加遴选承保机构在全区任一地区开展的创新型农业保险险种数量最多的为评审基准值，该承保机构得满分。其他参加遴选的承保机构得分＝其他参加遴选机构的创新型险种开办数量/评审基准值×8分（产品创新是指除2020年以来自治区出台的相关保险政策及创新保险试点政策以外的农产品保险险种）。</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承保机构应出具向保险监管部门进行产品备案后的备案回执表，以及对应的农业保险保单级数据。</w:t>
            </w:r>
          </w:p>
        </w:tc>
      </w:tr>
      <w:tr>
        <w:tblPrEx>
          <w:tblCellMar>
            <w:top w:w="0" w:type="dxa"/>
            <w:left w:w="108" w:type="dxa"/>
            <w:bottom w:w="0" w:type="dxa"/>
            <w:right w:w="108" w:type="dxa"/>
          </w:tblCellMar>
        </w:tblPrEx>
        <w:trPr>
          <w:trHeight w:val="150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7</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科技运用（10分）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10</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以参加遴选承保机构在使用卫星遥感、无人机、物联网、AI识别等新技术提高承保理赔服务质量情况进行横向对比，最优者为基准值，该承保机构得满分。其他参加遴选的承保机构得分＝其他参加遴选机构的创新型险种开办数量/评审基准值×10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参与遴选的保险机构及上级机构需提供技术运用证明材料。</w:t>
            </w:r>
          </w:p>
        </w:tc>
      </w:tr>
      <w:tr>
        <w:tblPrEx>
          <w:tblCellMar>
            <w:top w:w="0" w:type="dxa"/>
            <w:left w:w="108" w:type="dxa"/>
            <w:bottom w:w="0" w:type="dxa"/>
            <w:right w:w="108" w:type="dxa"/>
          </w:tblCellMar>
        </w:tblPrEx>
        <w:trPr>
          <w:trHeight w:val="108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8</w:t>
            </w:r>
          </w:p>
        </w:tc>
        <w:tc>
          <w:tcPr>
            <w:tcW w:w="68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机构实力（10分）</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偿付能力（10分）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10</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以农业保险综合偿付能力充足率150%为基准，参加遴选承保机构上级机构农业保险综合偿付能力充足率大于200%，得10分，每降低10%扣2分，低于150%不得分。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参加遴选承保机构的上级机构提供最近的审计会计报表中“偿付能力报告含偿付能力充足率相关页面”复印件。</w:t>
            </w:r>
          </w:p>
        </w:tc>
      </w:tr>
      <w:tr>
        <w:tblPrEx>
          <w:tblCellMar>
            <w:top w:w="0" w:type="dxa"/>
            <w:left w:w="108" w:type="dxa"/>
            <w:bottom w:w="0" w:type="dxa"/>
            <w:right w:w="108" w:type="dxa"/>
          </w:tblCellMar>
        </w:tblPrEx>
        <w:trPr>
          <w:trHeight w:val="180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9</w:t>
            </w:r>
          </w:p>
        </w:tc>
        <w:tc>
          <w:tcPr>
            <w:tcW w:w="683"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风险管控（22分）</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内控管理（10分）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10</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承保机构应根据内控管理要求等，拟定农业保险承保理赔方案，包括但不限于组织机构、人员配置、人员培训、服务流程、风控应急管理、响应时限安排等。经评委一致认同后为基准值，该承保机构得满分。其他参加遴选的承保机构按得分＝其他参加遴选的承保机构经验数量/评审基准值×10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以参加遴选的承保机构提供的制度汇编文本为准。</w:t>
            </w:r>
          </w:p>
        </w:tc>
      </w:tr>
      <w:tr>
        <w:tblPrEx>
          <w:tblCellMar>
            <w:top w:w="0" w:type="dxa"/>
            <w:left w:w="108" w:type="dxa"/>
            <w:bottom w:w="0" w:type="dxa"/>
            <w:right w:w="108" w:type="dxa"/>
          </w:tblCellMar>
        </w:tblPrEx>
        <w:trPr>
          <w:trHeight w:val="160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10</w:t>
            </w:r>
          </w:p>
        </w:tc>
        <w:tc>
          <w:tcPr>
            <w:tcW w:w="68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大灾风险分散（4分）</w:t>
            </w:r>
          </w:p>
        </w:tc>
        <w:tc>
          <w:tcPr>
            <w:tcW w:w="842" w:type="dxa"/>
            <w:tcBorders>
              <w:top w:val="nil"/>
              <w:left w:val="nil"/>
              <w:bottom w:val="nil"/>
              <w:right w:val="nil"/>
            </w:tcBorders>
            <w:vAlign w:val="center"/>
          </w:tcPr>
          <w:p>
            <w:pP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4</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承保机构总公司已与中国农再签署当期有效的《政策性农业保险再保险标准协议》；信息化建设满足业务管理要求，能够按要求与中国农业再保险股份有限公司（以下简称中国农再）约定分保业务信息系统进行对接。1项未达标扣2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需提供承保机构总公司与中国农再签署当期有效的《政策性农业保险再保险标准协议》及中国农再出具的信息系统对接确认函的复印件。</w:t>
            </w:r>
          </w:p>
        </w:tc>
      </w:tr>
      <w:tr>
        <w:tblPrEx>
          <w:tblCellMar>
            <w:top w:w="0" w:type="dxa"/>
            <w:left w:w="108" w:type="dxa"/>
            <w:bottom w:w="0" w:type="dxa"/>
            <w:right w:w="108" w:type="dxa"/>
          </w:tblCellMar>
        </w:tblPrEx>
        <w:trPr>
          <w:trHeight w:val="236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11</w:t>
            </w:r>
          </w:p>
        </w:tc>
        <w:tc>
          <w:tcPr>
            <w:tcW w:w="68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大灾应急预案（5分）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考察承保机构农业保险风险预警机制，应根据本项目实际情况拟定针对农业保险服务过程中可能出现的突发情况的应急预案，应急预案包括但不限于应急事件、应急团队、应急联系方式、应急制度、应急协调和相关保障措施等。应急预案内容项目具体，相关措施齐全，符合项目实际情况的得5分；应急预案内容较为齐全，基本满足项目要求的得4分；应急预案内容通用一般的得3分；未提供的不得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提供相关预案方案及规范性材料附于响应文件中。</w:t>
            </w:r>
          </w:p>
        </w:tc>
      </w:tr>
      <w:tr>
        <w:tblPrEx>
          <w:tblCellMar>
            <w:top w:w="0" w:type="dxa"/>
            <w:left w:w="108" w:type="dxa"/>
            <w:bottom w:w="0" w:type="dxa"/>
            <w:right w:w="108" w:type="dxa"/>
          </w:tblCellMar>
        </w:tblPrEx>
        <w:trPr>
          <w:trHeight w:val="1689"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12</w:t>
            </w:r>
          </w:p>
        </w:tc>
        <w:tc>
          <w:tcPr>
            <w:tcW w:w="68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大灾准备金（3分）</w:t>
            </w:r>
          </w:p>
        </w:tc>
        <w:tc>
          <w:tcPr>
            <w:tcW w:w="8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3</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参选承保机构按照相关规定及时提取大灾准备金，并进行专账管理，规范使用的，得3分；缺失一项扣1分。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提供相关文件、财务材料附于响应文件中。</w:t>
            </w:r>
          </w:p>
        </w:tc>
      </w:tr>
      <w:tr>
        <w:tblPrEx>
          <w:tblCellMar>
            <w:top w:w="0" w:type="dxa"/>
            <w:left w:w="108" w:type="dxa"/>
            <w:bottom w:w="0" w:type="dxa"/>
            <w:right w:w="108" w:type="dxa"/>
          </w:tblCellMar>
        </w:tblPrEx>
        <w:trPr>
          <w:trHeight w:val="404"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13</w:t>
            </w:r>
          </w:p>
        </w:tc>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合规经营（15分）</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承保理赔方案（5分）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考察承保机构农业保险内部制度建设情况。承保机构应提供覆盖农业保险业务全流程的承保、查勘、理赔、回访及投诉等制度。优计5分，良计4分，一般计3分。本条列举的5项内容缺1项扣1分。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提供相关预案方案及规范性材料附于响应文件中。</w:t>
            </w:r>
          </w:p>
        </w:tc>
      </w:tr>
      <w:tr>
        <w:tblPrEx>
          <w:tblCellMar>
            <w:top w:w="0" w:type="dxa"/>
            <w:left w:w="108" w:type="dxa"/>
            <w:bottom w:w="0" w:type="dxa"/>
            <w:right w:w="108" w:type="dxa"/>
          </w:tblCellMar>
        </w:tblPrEx>
        <w:trPr>
          <w:trHeight w:val="2591"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14</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保险流程（5分）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参与遴选的承保机构应根据承保理赔方案要求等，拟定农业保险承保、查勘、理赔服务流程，包括但不限于接险、出险、查勘、定损、理赔响应时限等。经评委一致认同后为基准值，该承保机构得满分。其他参加遴选的承保机构得分＝其他参加遴选的承保机构经验数量/评审基准值×5分。</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提供相关工作流程及规范性材料附于响应文件中。</w:t>
            </w:r>
          </w:p>
        </w:tc>
      </w:tr>
      <w:tr>
        <w:tblPrEx>
          <w:tblCellMar>
            <w:top w:w="0" w:type="dxa"/>
            <w:left w:w="108" w:type="dxa"/>
            <w:bottom w:w="0" w:type="dxa"/>
            <w:right w:w="108" w:type="dxa"/>
          </w:tblCellMar>
        </w:tblPrEx>
        <w:trPr>
          <w:trHeight w:val="2303"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15</w:t>
            </w: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行政处罚（5分）</w:t>
            </w: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海原县保险分支机构近3年（2019年-2021年）在经营服务政策性农业保险过程中，是否因违规违法受到保险监管部门的处罚，处罚认定以处罚相关公告或文件为准，在相应市县区未发生的，得5分，发生一次扣1分，同一违规事实不重复扣分，扣完为止。</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仿宋_GB2312"/>
                <w:color w:val="auto"/>
                <w:szCs w:val="21"/>
              </w:rPr>
            </w:pPr>
            <w:r>
              <w:rPr>
                <w:rFonts w:hint="eastAsia" w:ascii="宋体" w:hAnsi="宋体" w:cs="仿宋_GB2312"/>
                <w:color w:val="auto"/>
                <w:kern w:val="0"/>
                <w:szCs w:val="21"/>
              </w:rPr>
              <w:t>以宁夏银保监局官网行政处罚栏目公告为准。</w:t>
            </w:r>
          </w:p>
        </w:tc>
      </w:tr>
      <w:tr>
        <w:tblPrEx>
          <w:tblCellMar>
            <w:top w:w="0" w:type="dxa"/>
            <w:left w:w="108" w:type="dxa"/>
            <w:bottom w:w="0" w:type="dxa"/>
            <w:right w:w="108" w:type="dxa"/>
          </w:tblCellMar>
        </w:tblPrEx>
        <w:trPr>
          <w:trHeight w:val="207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r>
              <w:rPr>
                <w:rFonts w:hint="eastAsia" w:ascii="宋体" w:hAnsi="宋体" w:cs="仿宋_GB2312"/>
                <w:color w:val="auto"/>
                <w:szCs w:val="21"/>
              </w:rPr>
              <w:t>16</w:t>
            </w:r>
          </w:p>
        </w:tc>
        <w:tc>
          <w:tcPr>
            <w:tcW w:w="683"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附加指标（10）</w:t>
            </w:r>
          </w:p>
        </w:tc>
        <w:tc>
          <w:tcPr>
            <w:tcW w:w="7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助力“三农”（10分）</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仿宋_GB2312"/>
                <w:color w:val="auto"/>
                <w:szCs w:val="21"/>
                <w:highlight w:val="none"/>
                <w:lang w:val="en-US" w:eastAsia="zh-CN"/>
              </w:rPr>
            </w:pPr>
            <w:r>
              <w:rPr>
                <w:rFonts w:hint="eastAsia" w:ascii="宋体" w:hAnsi="宋体" w:cs="仿宋_GB2312"/>
                <w:color w:val="auto"/>
                <w:kern w:val="0"/>
                <w:szCs w:val="21"/>
                <w:highlight w:val="none"/>
              </w:rPr>
              <w:t>乡村振兴</w:t>
            </w:r>
            <w:r>
              <w:rPr>
                <w:rFonts w:hint="eastAsia" w:ascii="宋体" w:hAnsi="宋体" w:cs="仿宋_GB2312"/>
                <w:color w:val="auto"/>
                <w:kern w:val="0"/>
                <w:szCs w:val="21"/>
                <w:highlight w:val="none"/>
                <w:lang w:val="en-US" w:eastAsia="zh-CN"/>
              </w:rPr>
              <w:t>驻村</w:t>
            </w:r>
            <w:r>
              <w:rPr>
                <w:rFonts w:hint="eastAsia" w:ascii="宋体" w:hAnsi="宋体" w:cs="仿宋_GB2312"/>
                <w:color w:val="auto"/>
                <w:kern w:val="0"/>
                <w:szCs w:val="21"/>
                <w:highlight w:val="none"/>
              </w:rPr>
              <w:t>支持</w:t>
            </w:r>
            <w:r>
              <w:rPr>
                <w:rFonts w:hint="eastAsia" w:ascii="宋体" w:hAnsi="宋体" w:cs="仿宋_GB2312"/>
                <w:color w:val="auto"/>
                <w:kern w:val="0"/>
                <w:szCs w:val="21"/>
                <w:highlight w:val="none"/>
                <w:lang w:val="en-US" w:eastAsia="zh-CN"/>
              </w:rPr>
              <w:t>情况</w:t>
            </w: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仿宋_GB2312"/>
                <w:color w:val="auto"/>
                <w:szCs w:val="21"/>
                <w:lang w:eastAsia="zh-CN"/>
              </w:rPr>
            </w:pPr>
            <w:r>
              <w:rPr>
                <w:rFonts w:hint="eastAsia" w:ascii="宋体" w:hAnsi="宋体" w:cs="仿宋_GB2312"/>
                <w:color w:val="auto"/>
                <w:kern w:val="0"/>
                <w:szCs w:val="21"/>
                <w:lang w:val="en-US" w:eastAsia="zh-CN"/>
              </w:rPr>
              <w:t>2</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仿宋_GB2312"/>
                <w:color w:val="auto"/>
                <w:szCs w:val="21"/>
              </w:rPr>
            </w:pPr>
            <w:r>
              <w:rPr>
                <w:rFonts w:hint="eastAsia" w:ascii="宋体" w:hAnsi="宋体" w:cs="仿宋_GB2312"/>
                <w:color w:val="auto"/>
                <w:kern w:val="0"/>
                <w:szCs w:val="21"/>
              </w:rPr>
              <w:t>乡村振兴支持，运用打赢脱贫攻坚战选派驻村第一书记和工作队经验做法,巩固拓展脱贫攻坚成果全面推进乡村振兴</w:t>
            </w:r>
            <w:r>
              <w:rPr>
                <w:rFonts w:hint="eastAsia" w:ascii="宋体" w:hAnsi="宋体" w:cs="仿宋_GB2312"/>
                <w:color w:val="auto"/>
                <w:kern w:val="0"/>
                <w:szCs w:val="21"/>
                <w:lang w:eastAsia="zh-CN"/>
              </w:rPr>
              <w:t>，</w:t>
            </w:r>
            <w:r>
              <w:rPr>
                <w:rFonts w:hint="eastAsia" w:ascii="宋体" w:hAnsi="宋体" w:cs="仿宋_GB2312"/>
                <w:color w:val="auto"/>
                <w:kern w:val="0"/>
                <w:szCs w:val="21"/>
              </w:rPr>
              <w:t>向</w:t>
            </w:r>
            <w:r>
              <w:rPr>
                <w:rFonts w:hint="eastAsia" w:ascii="宋体" w:hAnsi="宋体" w:cs="仿宋_GB2312"/>
                <w:color w:val="auto"/>
                <w:kern w:val="0"/>
                <w:szCs w:val="21"/>
                <w:lang w:val="en-US" w:eastAsia="zh-CN"/>
              </w:rPr>
              <w:t>海原</w:t>
            </w:r>
            <w:r>
              <w:rPr>
                <w:rFonts w:hint="eastAsia" w:ascii="宋体" w:hAnsi="宋体" w:cs="仿宋_GB2312"/>
                <w:color w:val="auto"/>
                <w:kern w:val="0"/>
                <w:szCs w:val="21"/>
              </w:rPr>
              <w:t>乡村选派驻村干部及人员</w:t>
            </w:r>
            <w:r>
              <w:rPr>
                <w:rFonts w:hint="eastAsia" w:ascii="宋体" w:hAnsi="宋体" w:cs="仿宋_GB2312"/>
                <w:color w:val="auto"/>
                <w:kern w:val="0"/>
                <w:szCs w:val="21"/>
                <w:lang w:val="en-US" w:eastAsia="zh-CN"/>
              </w:rPr>
              <w:t>开展</w:t>
            </w:r>
            <w:r>
              <w:rPr>
                <w:rFonts w:hint="eastAsia" w:ascii="宋体" w:hAnsi="宋体" w:cs="仿宋_GB2312"/>
                <w:color w:val="auto"/>
                <w:kern w:val="0"/>
                <w:szCs w:val="21"/>
              </w:rPr>
              <w:t>帮扶工作。依据</w:t>
            </w:r>
            <w:r>
              <w:rPr>
                <w:rFonts w:hint="eastAsia" w:ascii="宋体" w:hAnsi="宋体" w:cs="仿宋_GB2312"/>
                <w:color w:val="auto"/>
                <w:kern w:val="0"/>
                <w:szCs w:val="21"/>
                <w:lang w:val="en-US" w:eastAsia="zh-CN"/>
              </w:rPr>
              <w:t>支持</w:t>
            </w:r>
            <w:r>
              <w:rPr>
                <w:rFonts w:hint="eastAsia" w:ascii="宋体" w:hAnsi="宋体" w:cs="仿宋_GB2312"/>
                <w:color w:val="auto"/>
                <w:kern w:val="0"/>
                <w:szCs w:val="21"/>
              </w:rPr>
              <w:t>情况赋分。</w:t>
            </w:r>
          </w:p>
        </w:tc>
        <w:tc>
          <w:tcPr>
            <w:tcW w:w="2291" w:type="dxa"/>
            <w:tcBorders>
              <w:top w:val="single" w:color="000000" w:sz="4" w:space="0"/>
              <w:left w:val="nil"/>
              <w:bottom w:val="single" w:color="000000" w:sz="4" w:space="0"/>
              <w:right w:val="single" w:color="000000" w:sz="4" w:space="0"/>
            </w:tcBorders>
            <w:vAlign w:val="center"/>
          </w:tcPr>
          <w:p>
            <w:pPr>
              <w:widowControl/>
              <w:jc w:val="both"/>
              <w:textAlignment w:val="center"/>
              <w:rPr>
                <w:rFonts w:hint="eastAsia" w:ascii="宋体" w:hAnsi="宋体" w:eastAsia="宋体" w:cs="仿宋_GB2312"/>
                <w:color w:val="auto"/>
                <w:szCs w:val="21"/>
                <w:lang w:eastAsia="zh-CN"/>
              </w:rPr>
            </w:pPr>
            <w:r>
              <w:rPr>
                <w:rFonts w:hint="eastAsia" w:ascii="宋体" w:hAnsi="宋体" w:cs="仿宋_GB2312"/>
                <w:color w:val="auto"/>
                <w:kern w:val="0"/>
                <w:szCs w:val="21"/>
                <w:lang w:val="en-US" w:eastAsia="zh-CN"/>
              </w:rPr>
              <w:t>提供</w:t>
            </w:r>
            <w:r>
              <w:rPr>
                <w:rFonts w:hint="eastAsia" w:ascii="宋体" w:hAnsi="宋体" w:cs="仿宋_GB2312"/>
                <w:color w:val="auto"/>
                <w:kern w:val="0"/>
                <w:szCs w:val="21"/>
              </w:rPr>
              <w:t>支持</w:t>
            </w:r>
            <w:r>
              <w:rPr>
                <w:rFonts w:hint="eastAsia" w:ascii="宋体" w:hAnsi="宋体" w:cs="仿宋_GB2312"/>
                <w:color w:val="auto"/>
                <w:kern w:val="0"/>
                <w:szCs w:val="21"/>
                <w:lang w:val="en-US" w:eastAsia="zh-CN"/>
              </w:rPr>
              <w:t>脱贫攻坚及</w:t>
            </w:r>
            <w:r>
              <w:rPr>
                <w:rFonts w:hint="eastAsia" w:ascii="宋体" w:hAnsi="宋体" w:cs="仿宋_GB2312"/>
                <w:color w:val="auto"/>
                <w:kern w:val="0"/>
                <w:szCs w:val="21"/>
              </w:rPr>
              <w:t>乡村振兴，具有乡村选派驻村</w:t>
            </w:r>
            <w:r>
              <w:rPr>
                <w:rFonts w:hint="eastAsia" w:ascii="宋体" w:hAnsi="宋体" w:cs="仿宋_GB2312"/>
                <w:color w:val="auto"/>
                <w:kern w:val="0"/>
                <w:szCs w:val="21"/>
                <w:lang w:eastAsia="zh-CN"/>
              </w:rPr>
              <w:t>（</w:t>
            </w:r>
            <w:r>
              <w:rPr>
                <w:rFonts w:hint="eastAsia" w:ascii="宋体" w:hAnsi="宋体" w:cs="仿宋_GB2312"/>
                <w:color w:val="auto"/>
                <w:kern w:val="0"/>
                <w:szCs w:val="21"/>
                <w:lang w:val="en-US" w:eastAsia="zh-CN"/>
              </w:rPr>
              <w:t>帮扶</w:t>
            </w:r>
            <w:r>
              <w:rPr>
                <w:rFonts w:hint="eastAsia" w:ascii="宋体" w:hAnsi="宋体" w:cs="仿宋_GB2312"/>
                <w:color w:val="auto"/>
                <w:kern w:val="0"/>
                <w:szCs w:val="21"/>
                <w:lang w:eastAsia="zh-CN"/>
              </w:rPr>
              <w:t>）</w:t>
            </w:r>
            <w:r>
              <w:rPr>
                <w:rFonts w:hint="eastAsia" w:ascii="宋体" w:hAnsi="宋体" w:cs="仿宋_GB2312"/>
                <w:color w:val="auto"/>
                <w:kern w:val="0"/>
                <w:szCs w:val="21"/>
              </w:rPr>
              <w:t>干部及人员</w:t>
            </w:r>
            <w:r>
              <w:rPr>
                <w:rFonts w:hint="eastAsia" w:ascii="宋体" w:hAnsi="宋体" w:cs="仿宋_GB2312"/>
                <w:color w:val="auto"/>
                <w:kern w:val="0"/>
                <w:szCs w:val="21"/>
                <w:lang w:val="en-US" w:eastAsia="zh-CN"/>
              </w:rPr>
              <w:t>文件、签到表等材料，</w:t>
            </w:r>
            <w:r>
              <w:rPr>
                <w:rFonts w:hint="eastAsia" w:ascii="宋体" w:hAnsi="宋体" w:cs="仿宋_GB2312"/>
                <w:color w:val="auto"/>
                <w:kern w:val="0"/>
                <w:szCs w:val="21"/>
              </w:rPr>
              <w:t>驻点</w:t>
            </w:r>
            <w:r>
              <w:rPr>
                <w:rFonts w:hint="eastAsia" w:ascii="宋体" w:hAnsi="宋体" w:cs="仿宋_GB2312"/>
                <w:color w:val="auto"/>
                <w:kern w:val="0"/>
                <w:szCs w:val="21"/>
                <w:lang w:eastAsia="zh-CN"/>
              </w:rPr>
              <w:t>（</w:t>
            </w:r>
            <w:r>
              <w:rPr>
                <w:rFonts w:hint="eastAsia" w:ascii="宋体" w:hAnsi="宋体" w:cs="仿宋_GB2312"/>
                <w:color w:val="auto"/>
                <w:kern w:val="0"/>
                <w:szCs w:val="21"/>
                <w:lang w:val="en-US" w:eastAsia="zh-CN"/>
              </w:rPr>
              <w:t>帮扶</w:t>
            </w:r>
            <w:r>
              <w:rPr>
                <w:rFonts w:hint="eastAsia" w:ascii="宋体" w:hAnsi="宋体" w:cs="仿宋_GB2312"/>
                <w:color w:val="auto"/>
                <w:kern w:val="0"/>
                <w:szCs w:val="21"/>
                <w:lang w:eastAsia="zh-CN"/>
              </w:rPr>
              <w:t>）</w:t>
            </w:r>
            <w:r>
              <w:rPr>
                <w:rFonts w:hint="eastAsia" w:ascii="宋体" w:hAnsi="宋体" w:cs="仿宋_GB2312"/>
                <w:color w:val="auto"/>
                <w:kern w:val="0"/>
                <w:szCs w:val="21"/>
              </w:rPr>
              <w:t>村签到表加盖驻点村</w:t>
            </w:r>
            <w:r>
              <w:rPr>
                <w:rFonts w:hint="eastAsia" w:ascii="宋体" w:hAnsi="宋体" w:cs="仿宋_GB2312"/>
                <w:color w:val="auto"/>
                <w:kern w:val="0"/>
                <w:szCs w:val="21"/>
                <w:lang w:eastAsia="zh-CN"/>
              </w:rPr>
              <w:t>（</w:t>
            </w:r>
            <w:r>
              <w:rPr>
                <w:rFonts w:hint="eastAsia" w:ascii="宋体" w:hAnsi="宋体" w:cs="仿宋_GB2312"/>
                <w:color w:val="auto"/>
                <w:kern w:val="0"/>
                <w:szCs w:val="21"/>
                <w:lang w:val="en-US" w:eastAsia="zh-CN"/>
              </w:rPr>
              <w:t>帮扶</w:t>
            </w:r>
            <w:r>
              <w:rPr>
                <w:rFonts w:hint="eastAsia" w:ascii="宋体" w:hAnsi="宋体" w:cs="仿宋_GB2312"/>
                <w:color w:val="auto"/>
                <w:kern w:val="0"/>
                <w:szCs w:val="21"/>
                <w:lang w:eastAsia="zh-CN"/>
              </w:rPr>
              <w:t>）</w:t>
            </w:r>
            <w:r>
              <w:rPr>
                <w:rFonts w:hint="eastAsia" w:ascii="宋体" w:hAnsi="宋体" w:cs="仿宋_GB2312"/>
                <w:color w:val="auto"/>
                <w:kern w:val="0"/>
                <w:szCs w:val="21"/>
              </w:rPr>
              <w:t>公章</w:t>
            </w:r>
            <w:r>
              <w:rPr>
                <w:rFonts w:hint="eastAsia" w:ascii="宋体" w:hAnsi="宋体" w:cs="仿宋_GB2312"/>
                <w:color w:val="auto"/>
                <w:kern w:val="0"/>
                <w:szCs w:val="21"/>
                <w:lang w:eastAsia="zh-CN"/>
              </w:rPr>
              <w:t>。</w:t>
            </w:r>
          </w:p>
        </w:tc>
      </w:tr>
      <w:tr>
        <w:tblPrEx>
          <w:tblCellMar>
            <w:top w:w="0" w:type="dxa"/>
            <w:left w:w="108" w:type="dxa"/>
            <w:bottom w:w="0" w:type="dxa"/>
            <w:right w:w="108" w:type="dxa"/>
          </w:tblCellMar>
        </w:tblPrEx>
        <w:trPr>
          <w:trHeight w:val="1560"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r>
              <w:rPr>
                <w:rFonts w:hint="eastAsia" w:ascii="宋体" w:hAnsi="宋体" w:cs="仿宋_GB2312"/>
                <w:color w:val="auto"/>
                <w:szCs w:val="21"/>
              </w:rPr>
              <w:t>17</w:t>
            </w:r>
          </w:p>
        </w:tc>
        <w:tc>
          <w:tcPr>
            <w:tcW w:w="68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highlight w:val="none"/>
              </w:rPr>
            </w:pPr>
            <w:r>
              <w:rPr>
                <w:rFonts w:hint="eastAsia" w:ascii="宋体" w:hAnsi="宋体" w:cs="仿宋_GB2312"/>
                <w:color w:val="auto"/>
                <w:kern w:val="0"/>
                <w:szCs w:val="21"/>
                <w:highlight w:val="none"/>
              </w:rPr>
              <w:t>向农户和涉农企业提供融资服务的能力</w:t>
            </w: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3</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仿宋_GB2312"/>
                <w:color w:val="auto"/>
                <w:szCs w:val="21"/>
              </w:rPr>
            </w:pPr>
            <w:r>
              <w:rPr>
                <w:rFonts w:hint="eastAsia" w:ascii="宋体" w:hAnsi="宋体" w:cs="仿宋_GB2312"/>
                <w:color w:val="auto"/>
                <w:kern w:val="0"/>
                <w:szCs w:val="21"/>
              </w:rPr>
              <w:t>发挥地方农业经济发展助推作用，是否具备向农户和涉农企业提供融资服务的能力，提供融资方合作协议</w:t>
            </w:r>
            <w:r>
              <w:rPr>
                <w:rFonts w:hint="eastAsia" w:ascii="宋体" w:hAnsi="宋体" w:cs="仿宋_GB2312"/>
                <w:color w:val="auto"/>
                <w:kern w:val="0"/>
                <w:szCs w:val="21"/>
                <w:lang w:eastAsia="zh-CN"/>
              </w:rPr>
              <w:t>、</w:t>
            </w:r>
            <w:r>
              <w:rPr>
                <w:rFonts w:hint="eastAsia" w:ascii="宋体" w:hAnsi="宋体" w:cs="仿宋_GB2312"/>
                <w:color w:val="auto"/>
                <w:kern w:val="0"/>
                <w:szCs w:val="21"/>
              </w:rPr>
              <w:t>政府合作协议，依据贡献程度视情况赋分。</w:t>
            </w:r>
          </w:p>
        </w:tc>
        <w:tc>
          <w:tcPr>
            <w:tcW w:w="2291" w:type="dxa"/>
            <w:tcBorders>
              <w:top w:val="single" w:color="000000" w:sz="4" w:space="0"/>
              <w:left w:val="nil"/>
              <w:bottom w:val="single" w:color="000000" w:sz="4" w:space="0"/>
              <w:right w:val="single" w:color="000000" w:sz="4" w:space="0"/>
            </w:tcBorders>
            <w:vAlign w:val="center"/>
          </w:tcPr>
          <w:p>
            <w:pPr>
              <w:widowControl/>
              <w:jc w:val="both"/>
              <w:textAlignment w:val="center"/>
              <w:rPr>
                <w:rFonts w:hint="default" w:ascii="宋体" w:hAnsi="宋体" w:eastAsia="宋体" w:cs="仿宋_GB2312"/>
                <w:color w:val="auto"/>
                <w:szCs w:val="21"/>
                <w:lang w:val="en-US" w:eastAsia="zh-CN"/>
              </w:rPr>
            </w:pPr>
            <w:r>
              <w:rPr>
                <w:rFonts w:hint="eastAsia" w:ascii="宋体" w:hAnsi="宋体" w:cs="仿宋_GB2312"/>
                <w:color w:val="auto"/>
                <w:kern w:val="0"/>
                <w:szCs w:val="21"/>
              </w:rPr>
              <w:t>提供融资方合作协议</w:t>
            </w:r>
            <w:r>
              <w:rPr>
                <w:rFonts w:hint="eastAsia" w:ascii="宋体" w:hAnsi="宋体" w:cs="仿宋_GB2312"/>
                <w:color w:val="auto"/>
                <w:kern w:val="0"/>
                <w:szCs w:val="21"/>
                <w:lang w:eastAsia="zh-CN"/>
              </w:rPr>
              <w:t>、</w:t>
            </w:r>
            <w:r>
              <w:rPr>
                <w:rFonts w:hint="eastAsia" w:ascii="宋体" w:hAnsi="宋体" w:cs="仿宋_GB2312"/>
                <w:color w:val="auto"/>
                <w:kern w:val="0"/>
                <w:szCs w:val="21"/>
              </w:rPr>
              <w:t>政府合作协议</w:t>
            </w:r>
            <w:r>
              <w:rPr>
                <w:rFonts w:hint="eastAsia" w:ascii="宋体" w:hAnsi="宋体" w:cs="仿宋_GB2312"/>
                <w:color w:val="auto"/>
                <w:kern w:val="0"/>
                <w:szCs w:val="21"/>
                <w:lang w:val="en-US" w:eastAsia="zh-CN"/>
              </w:rPr>
              <w:t>以及融资服务凭证等证明材料。</w:t>
            </w:r>
          </w:p>
        </w:tc>
      </w:tr>
      <w:tr>
        <w:tblPrEx>
          <w:tblCellMar>
            <w:top w:w="0" w:type="dxa"/>
            <w:left w:w="108" w:type="dxa"/>
            <w:bottom w:w="0" w:type="dxa"/>
            <w:right w:w="108" w:type="dxa"/>
          </w:tblCellMar>
        </w:tblPrEx>
        <w:trPr>
          <w:trHeight w:val="2346"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rPr>
            </w:pPr>
            <w:r>
              <w:rPr>
                <w:rFonts w:hint="eastAsia" w:ascii="宋体" w:hAnsi="宋体" w:cs="仿宋_GB2312"/>
                <w:color w:val="auto"/>
                <w:kern w:val="0"/>
                <w:szCs w:val="21"/>
              </w:rPr>
              <w:t>18</w:t>
            </w:r>
          </w:p>
        </w:tc>
        <w:tc>
          <w:tcPr>
            <w:tcW w:w="68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7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color w:val="auto"/>
                <w:szCs w:val="21"/>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color w:val="auto"/>
                <w:szCs w:val="21"/>
                <w:highlight w:val="none"/>
              </w:rPr>
            </w:pPr>
            <w:r>
              <w:rPr>
                <w:rFonts w:hint="eastAsia" w:ascii="宋体" w:hAnsi="宋体" w:cs="仿宋_GB2312"/>
                <w:color w:val="auto"/>
                <w:kern w:val="0"/>
                <w:szCs w:val="21"/>
                <w:highlight w:val="none"/>
                <w:lang w:val="en-US" w:eastAsia="zh-CN"/>
              </w:rPr>
              <w:t>对当地的</w:t>
            </w:r>
            <w:r>
              <w:rPr>
                <w:rFonts w:hint="eastAsia" w:ascii="宋体" w:hAnsi="宋体" w:cs="仿宋_GB2312"/>
                <w:color w:val="auto"/>
                <w:kern w:val="0"/>
                <w:szCs w:val="21"/>
                <w:highlight w:val="none"/>
              </w:rPr>
              <w:t>贡献程度</w:t>
            </w:r>
          </w:p>
        </w:tc>
        <w:tc>
          <w:tcPr>
            <w:tcW w:w="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仿宋_GB2312"/>
                <w:color w:val="auto"/>
                <w:szCs w:val="21"/>
                <w:lang w:eastAsia="zh-CN"/>
              </w:rPr>
            </w:pPr>
            <w:r>
              <w:rPr>
                <w:rFonts w:hint="eastAsia" w:ascii="宋体" w:hAnsi="宋体" w:cs="仿宋_GB2312"/>
                <w:color w:val="auto"/>
                <w:kern w:val="0"/>
                <w:szCs w:val="21"/>
                <w:lang w:val="en-US" w:eastAsia="zh-CN"/>
              </w:rPr>
              <w:t>5</w:t>
            </w:r>
          </w:p>
        </w:tc>
        <w:tc>
          <w:tcPr>
            <w:tcW w:w="3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仿宋_GB2312"/>
                <w:color w:val="auto"/>
                <w:szCs w:val="21"/>
                <w:lang w:eastAsia="zh-CN"/>
              </w:rPr>
            </w:pPr>
            <w:r>
              <w:rPr>
                <w:rFonts w:hint="eastAsia" w:ascii="宋体" w:hAnsi="宋体" w:cs="仿宋_GB2312"/>
                <w:color w:val="auto"/>
                <w:kern w:val="0"/>
                <w:szCs w:val="21"/>
                <w:lang w:val="en-US" w:eastAsia="zh-CN"/>
              </w:rPr>
              <w:t>海原支公司支持</w:t>
            </w:r>
            <w:r>
              <w:rPr>
                <w:rFonts w:hint="eastAsia" w:ascii="宋体" w:hAnsi="宋体" w:cs="仿宋_GB2312"/>
                <w:color w:val="auto"/>
                <w:kern w:val="0"/>
                <w:szCs w:val="21"/>
              </w:rPr>
              <w:t>海原脱贫攻坚、乡村振兴、经济发展、农村金融</w:t>
            </w:r>
            <w:r>
              <w:rPr>
                <w:rFonts w:hint="eastAsia" w:ascii="宋体" w:hAnsi="宋体" w:cs="仿宋_GB2312"/>
                <w:color w:val="auto"/>
                <w:kern w:val="0"/>
                <w:szCs w:val="21"/>
                <w:lang w:eastAsia="zh-CN"/>
              </w:rPr>
              <w:t>、</w:t>
            </w:r>
            <w:r>
              <w:rPr>
                <w:rFonts w:hint="eastAsia" w:ascii="宋体" w:hAnsi="宋体" w:cs="仿宋_GB2312"/>
                <w:color w:val="auto"/>
                <w:kern w:val="0"/>
                <w:szCs w:val="21"/>
                <w:lang w:val="en-US" w:eastAsia="zh-CN"/>
              </w:rPr>
              <w:t>推动发展海原特色产业</w:t>
            </w:r>
            <w:r>
              <w:rPr>
                <w:rFonts w:hint="eastAsia" w:ascii="宋体" w:hAnsi="宋体" w:cs="仿宋_GB2312"/>
                <w:color w:val="auto"/>
                <w:kern w:val="0"/>
                <w:szCs w:val="21"/>
              </w:rPr>
              <w:t>等方面</w:t>
            </w:r>
            <w:r>
              <w:rPr>
                <w:rFonts w:hint="eastAsia" w:ascii="宋体" w:hAnsi="宋体" w:cs="仿宋_GB2312"/>
                <w:color w:val="auto"/>
                <w:kern w:val="0"/>
                <w:szCs w:val="21"/>
                <w:lang w:val="en-US" w:eastAsia="zh-CN"/>
              </w:rPr>
              <w:t>所作的</w:t>
            </w:r>
            <w:r>
              <w:rPr>
                <w:rFonts w:hint="eastAsia" w:ascii="宋体" w:hAnsi="宋体" w:cs="仿宋_GB2312"/>
                <w:color w:val="auto"/>
                <w:kern w:val="0"/>
                <w:szCs w:val="21"/>
              </w:rPr>
              <w:t>贡献</w:t>
            </w:r>
            <w:r>
              <w:rPr>
                <w:rFonts w:hint="eastAsia" w:ascii="宋体" w:hAnsi="宋体" w:cs="仿宋_GB2312"/>
                <w:color w:val="auto"/>
                <w:kern w:val="0"/>
                <w:szCs w:val="21"/>
                <w:lang w:eastAsia="zh-CN"/>
              </w:rPr>
              <w:t>，</w:t>
            </w:r>
            <w:r>
              <w:rPr>
                <w:rFonts w:hint="eastAsia" w:ascii="宋体" w:hAnsi="宋体" w:cs="仿宋_GB2312"/>
                <w:color w:val="auto"/>
                <w:kern w:val="0"/>
                <w:szCs w:val="21"/>
                <w:lang w:val="en-US" w:eastAsia="zh-CN"/>
              </w:rPr>
              <w:t>开发海原当地保险产品、降低保费服务</w:t>
            </w:r>
            <w:r>
              <w:rPr>
                <w:rFonts w:hint="eastAsia" w:ascii="宋体" w:hAnsi="宋体" w:cs="仿宋_GB2312"/>
                <w:color w:val="auto"/>
                <w:kern w:val="0"/>
                <w:szCs w:val="21"/>
                <w:lang w:eastAsia="zh-CN"/>
              </w:rPr>
              <w:t>、</w:t>
            </w:r>
            <w:r>
              <w:rPr>
                <w:rFonts w:hint="eastAsia" w:ascii="宋体" w:hAnsi="宋体" w:cs="仿宋_GB2312"/>
                <w:color w:val="auto"/>
                <w:kern w:val="0"/>
                <w:szCs w:val="21"/>
                <w:lang w:val="en-US" w:eastAsia="zh-CN"/>
              </w:rPr>
              <w:t>开展</w:t>
            </w:r>
            <w:r>
              <w:rPr>
                <w:rFonts w:hint="eastAsia" w:ascii="宋体" w:hAnsi="宋体" w:cs="仿宋_GB2312"/>
                <w:color w:val="auto"/>
                <w:kern w:val="0"/>
                <w:szCs w:val="21"/>
              </w:rPr>
              <w:t>减灾救灾</w:t>
            </w:r>
            <w:r>
              <w:rPr>
                <w:rFonts w:hint="eastAsia" w:ascii="宋体" w:hAnsi="宋体" w:cs="仿宋_GB2312"/>
                <w:color w:val="auto"/>
                <w:kern w:val="0"/>
                <w:szCs w:val="21"/>
                <w:lang w:eastAsia="zh-CN"/>
              </w:rPr>
              <w:t>、</w:t>
            </w:r>
            <w:r>
              <w:rPr>
                <w:rFonts w:hint="eastAsia" w:ascii="宋体" w:hAnsi="宋体" w:cs="仿宋_GB2312"/>
                <w:color w:val="auto"/>
                <w:kern w:val="0"/>
                <w:szCs w:val="21"/>
              </w:rPr>
              <w:t>开展</w:t>
            </w:r>
            <w:r>
              <w:rPr>
                <w:rFonts w:hint="eastAsia" w:ascii="宋体" w:hAnsi="宋体" w:cs="仿宋_GB2312"/>
                <w:color w:val="auto"/>
                <w:kern w:val="0"/>
                <w:szCs w:val="21"/>
                <w:lang w:val="en-US" w:eastAsia="zh-CN"/>
              </w:rPr>
              <w:t>帮扶活动、对地方纳税贡献度等。</w:t>
            </w:r>
            <w:r>
              <w:rPr>
                <w:rFonts w:hint="eastAsia" w:ascii="宋体" w:hAnsi="宋体" w:cs="仿宋_GB2312"/>
                <w:color w:val="auto"/>
                <w:kern w:val="0"/>
                <w:szCs w:val="21"/>
              </w:rPr>
              <w:t>提供证明材料</w:t>
            </w:r>
            <w:r>
              <w:rPr>
                <w:rFonts w:hint="eastAsia" w:ascii="宋体" w:hAnsi="宋体" w:cs="仿宋_GB2312"/>
                <w:color w:val="auto"/>
                <w:kern w:val="0"/>
                <w:szCs w:val="21"/>
                <w:lang w:eastAsia="zh-CN"/>
              </w:rPr>
              <w:t>，</w:t>
            </w:r>
            <w:r>
              <w:rPr>
                <w:rFonts w:hint="eastAsia" w:ascii="宋体" w:hAnsi="宋体" w:cs="仿宋_GB2312"/>
                <w:color w:val="auto"/>
                <w:kern w:val="0"/>
                <w:szCs w:val="21"/>
              </w:rPr>
              <w:t>依据贡献程度视情况赋分</w:t>
            </w:r>
            <w:r>
              <w:rPr>
                <w:rFonts w:hint="eastAsia" w:ascii="宋体" w:hAnsi="宋体" w:cs="仿宋_GB2312"/>
                <w:color w:val="auto"/>
                <w:kern w:val="0"/>
                <w:szCs w:val="21"/>
                <w:lang w:eastAsia="zh-CN"/>
              </w:rPr>
              <w:t>。</w:t>
            </w:r>
          </w:p>
        </w:tc>
        <w:tc>
          <w:tcPr>
            <w:tcW w:w="2291" w:type="dxa"/>
            <w:tcBorders>
              <w:top w:val="single" w:color="000000" w:sz="4" w:space="0"/>
              <w:left w:val="nil"/>
              <w:bottom w:val="single" w:color="000000" w:sz="4" w:space="0"/>
              <w:right w:val="single" w:color="000000" w:sz="4" w:space="0"/>
            </w:tcBorders>
            <w:vAlign w:val="center"/>
          </w:tcPr>
          <w:p>
            <w:pPr>
              <w:widowControl/>
              <w:jc w:val="distribute"/>
              <w:textAlignment w:val="center"/>
              <w:rPr>
                <w:rFonts w:hint="eastAsia" w:ascii="宋体" w:hAnsi="宋体" w:eastAsia="宋体" w:cs="仿宋_GB2312"/>
                <w:color w:val="auto"/>
                <w:szCs w:val="21"/>
                <w:lang w:eastAsia="zh-CN"/>
              </w:rPr>
            </w:pPr>
            <w:r>
              <w:rPr>
                <w:rFonts w:hint="eastAsia" w:ascii="宋体" w:hAnsi="宋体" w:cs="仿宋_GB2312"/>
                <w:color w:val="auto"/>
                <w:kern w:val="0"/>
                <w:szCs w:val="21"/>
              </w:rPr>
              <w:t>提供</w:t>
            </w:r>
            <w:r>
              <w:rPr>
                <w:rFonts w:hint="eastAsia" w:ascii="宋体" w:hAnsi="宋体" w:cs="仿宋_GB2312"/>
                <w:color w:val="auto"/>
                <w:kern w:val="0"/>
                <w:szCs w:val="21"/>
                <w:lang w:val="en-US" w:eastAsia="zh-CN"/>
              </w:rPr>
              <w:t>海原支公司支持海原当地发展所作的贡献</w:t>
            </w:r>
            <w:r>
              <w:rPr>
                <w:rFonts w:hint="eastAsia" w:ascii="宋体" w:hAnsi="宋体" w:cs="仿宋_GB2312"/>
                <w:color w:val="auto"/>
                <w:kern w:val="0"/>
                <w:szCs w:val="21"/>
              </w:rPr>
              <w:t>证明材料</w:t>
            </w:r>
            <w:r>
              <w:rPr>
                <w:rFonts w:hint="eastAsia" w:ascii="宋体" w:hAnsi="宋体" w:cs="仿宋_GB2312"/>
                <w:color w:val="auto"/>
                <w:kern w:val="0"/>
                <w:szCs w:val="21"/>
                <w:lang w:eastAsia="zh-CN"/>
              </w:rPr>
              <w:t>，</w:t>
            </w:r>
            <w:r>
              <w:rPr>
                <w:rFonts w:hint="eastAsia" w:ascii="宋体" w:hAnsi="宋体" w:cs="仿宋_GB2312"/>
                <w:color w:val="auto"/>
                <w:kern w:val="0"/>
                <w:szCs w:val="21"/>
              </w:rPr>
              <w:t>依据贡献程度视情况赋分</w:t>
            </w:r>
            <w:r>
              <w:rPr>
                <w:rFonts w:hint="eastAsia" w:ascii="宋体" w:hAnsi="宋体" w:cs="仿宋_GB2312"/>
                <w:color w:val="auto"/>
                <w:kern w:val="0"/>
                <w:szCs w:val="21"/>
                <w:lang w:eastAsia="zh-CN"/>
              </w:rPr>
              <w:t>。</w:t>
            </w:r>
          </w:p>
        </w:tc>
      </w:tr>
    </w:tbl>
    <w:p>
      <w:pPr>
        <w:ind w:firstLine="560" w:firstLineChars="200"/>
        <w:rPr>
          <w:rFonts w:hint="eastAsia" w:cs="宋体" w:asciiTheme="minorEastAsia" w:hAnsiTheme="minorEastAsia" w:eastAsiaTheme="minorEastAsia"/>
          <w:color w:val="auto"/>
          <w:sz w:val="28"/>
          <w:szCs w:val="28"/>
        </w:rPr>
      </w:pPr>
    </w:p>
    <w:p>
      <w:pPr>
        <w:rPr>
          <w:color w:val="auto"/>
        </w:rPr>
      </w:pPr>
    </w:p>
    <w:p>
      <w:pPr>
        <w:adjustRightInd w:val="0"/>
        <w:snapToGrid w:val="0"/>
        <w:spacing w:line="360" w:lineRule="auto"/>
        <w:jc w:val="left"/>
        <w:rPr>
          <w:rFonts w:hint="eastAsia" w:ascii="宋体" w:hAnsi="宋体"/>
          <w:b/>
          <w:color w:val="auto"/>
          <w:sz w:val="24"/>
          <w:szCs w:val="24"/>
        </w:rPr>
      </w:pPr>
      <w:r>
        <w:rPr>
          <w:rFonts w:ascii="宋体" w:hAnsi="宋体"/>
          <w:b/>
          <w:color w:val="auto"/>
          <w:sz w:val="24"/>
          <w:szCs w:val="24"/>
        </w:rPr>
        <w:t>注</w:t>
      </w:r>
      <w:r>
        <w:rPr>
          <w:rFonts w:hint="eastAsia" w:ascii="宋体" w:hAnsi="宋体"/>
          <w:b/>
          <w:color w:val="auto"/>
          <w:sz w:val="24"/>
          <w:szCs w:val="24"/>
        </w:rPr>
        <w:t>：</w:t>
      </w:r>
    </w:p>
    <w:p>
      <w:pPr>
        <w:adjustRightInd w:val="0"/>
        <w:snapToGrid w:val="0"/>
        <w:spacing w:line="360" w:lineRule="auto"/>
        <w:ind w:firstLine="480" w:firstLineChars="200"/>
        <w:jc w:val="left"/>
        <w:rPr>
          <w:rFonts w:ascii="宋体" w:hAnsi="宋体"/>
          <w:b w:val="0"/>
          <w:bCs/>
          <w:color w:val="auto"/>
          <w:sz w:val="24"/>
          <w:szCs w:val="24"/>
        </w:rPr>
      </w:pPr>
      <w:r>
        <w:rPr>
          <w:rFonts w:hint="eastAsia" w:ascii="宋体" w:hAnsi="宋体"/>
          <w:b w:val="0"/>
          <w:bCs/>
          <w:color w:val="auto"/>
          <w:sz w:val="24"/>
          <w:szCs w:val="24"/>
        </w:rPr>
        <w:t>1、</w:t>
      </w:r>
      <w:r>
        <w:rPr>
          <w:rFonts w:ascii="宋体" w:hAnsi="宋体"/>
          <w:b w:val="0"/>
          <w:bCs/>
          <w:color w:val="auto"/>
          <w:sz w:val="24"/>
          <w:szCs w:val="24"/>
        </w:rPr>
        <w:t>各</w:t>
      </w:r>
      <w:r>
        <w:rPr>
          <w:rFonts w:hint="eastAsia" w:ascii="宋体" w:hAnsi="宋体"/>
          <w:b w:val="0"/>
          <w:bCs/>
          <w:color w:val="auto"/>
          <w:sz w:val="24"/>
          <w:szCs w:val="24"/>
        </w:rPr>
        <w:t>响应</w:t>
      </w:r>
      <w:r>
        <w:rPr>
          <w:rFonts w:ascii="宋体" w:hAnsi="宋体"/>
          <w:b w:val="0"/>
          <w:bCs/>
          <w:color w:val="auto"/>
          <w:sz w:val="24"/>
          <w:szCs w:val="24"/>
        </w:rPr>
        <w:t>人提供的资料必须真实有效</w:t>
      </w:r>
      <w:r>
        <w:rPr>
          <w:rFonts w:hint="eastAsia" w:ascii="宋体" w:hAnsi="宋体"/>
          <w:b w:val="0"/>
          <w:bCs/>
          <w:color w:val="auto"/>
          <w:sz w:val="24"/>
          <w:szCs w:val="24"/>
        </w:rPr>
        <w:t>。</w:t>
      </w:r>
      <w:r>
        <w:rPr>
          <w:rFonts w:ascii="宋体" w:hAnsi="宋体"/>
          <w:b w:val="0"/>
          <w:bCs/>
          <w:color w:val="auto"/>
          <w:sz w:val="24"/>
          <w:szCs w:val="24"/>
        </w:rPr>
        <w:t>如有必要</w:t>
      </w:r>
      <w:r>
        <w:rPr>
          <w:rFonts w:hint="eastAsia" w:ascii="宋体" w:hAnsi="宋体"/>
          <w:b w:val="0"/>
          <w:bCs/>
          <w:color w:val="auto"/>
          <w:sz w:val="24"/>
          <w:szCs w:val="24"/>
        </w:rPr>
        <w:t>，</w:t>
      </w:r>
      <w:r>
        <w:rPr>
          <w:rFonts w:ascii="宋体" w:hAnsi="宋体"/>
          <w:b w:val="0"/>
          <w:bCs/>
          <w:color w:val="auto"/>
          <w:sz w:val="24"/>
          <w:szCs w:val="24"/>
        </w:rPr>
        <w:t>甲方有权进行核实，</w:t>
      </w:r>
      <w:r>
        <w:rPr>
          <w:rFonts w:hint="eastAsia" w:ascii="宋体" w:hAnsi="宋体"/>
          <w:b w:val="0"/>
          <w:bCs/>
          <w:color w:val="auto"/>
          <w:sz w:val="24"/>
          <w:szCs w:val="24"/>
        </w:rPr>
        <w:t>如</w:t>
      </w:r>
      <w:r>
        <w:rPr>
          <w:rFonts w:ascii="宋体" w:hAnsi="宋体"/>
          <w:b w:val="0"/>
          <w:bCs/>
          <w:color w:val="auto"/>
          <w:sz w:val="24"/>
          <w:szCs w:val="24"/>
        </w:rPr>
        <w:t>弄虚作假的情形一经发现</w:t>
      </w:r>
      <w:r>
        <w:rPr>
          <w:rFonts w:hint="eastAsia" w:ascii="宋体" w:hAnsi="宋体"/>
          <w:b w:val="0"/>
          <w:bCs/>
          <w:color w:val="auto"/>
          <w:sz w:val="24"/>
          <w:szCs w:val="24"/>
        </w:rPr>
        <w:t>，将</w:t>
      </w:r>
      <w:r>
        <w:rPr>
          <w:rFonts w:ascii="宋体" w:hAnsi="宋体"/>
          <w:b w:val="0"/>
          <w:bCs/>
          <w:color w:val="auto"/>
          <w:sz w:val="24"/>
          <w:szCs w:val="24"/>
        </w:rPr>
        <w:t>取消其</w:t>
      </w:r>
      <w:r>
        <w:rPr>
          <w:rFonts w:hint="eastAsia" w:ascii="宋体" w:hAnsi="宋体"/>
          <w:b w:val="0"/>
          <w:bCs/>
          <w:color w:val="auto"/>
          <w:sz w:val="24"/>
          <w:szCs w:val="24"/>
        </w:rPr>
        <w:t>评选/入围的</w:t>
      </w:r>
      <w:r>
        <w:rPr>
          <w:rFonts w:ascii="宋体" w:hAnsi="宋体"/>
          <w:b w:val="0"/>
          <w:bCs/>
          <w:color w:val="auto"/>
          <w:sz w:val="24"/>
          <w:szCs w:val="24"/>
        </w:rPr>
        <w:t>资格</w:t>
      </w:r>
      <w:r>
        <w:rPr>
          <w:rFonts w:hint="eastAsia" w:ascii="宋体" w:hAnsi="宋体" w:cs="仿宋_GB2312"/>
          <w:b w:val="0"/>
          <w:bCs/>
          <w:color w:val="auto"/>
          <w:sz w:val="24"/>
          <w:szCs w:val="24"/>
        </w:rPr>
        <w:t>。</w:t>
      </w:r>
    </w:p>
    <w:p>
      <w:pPr>
        <w:spacing w:line="360" w:lineRule="auto"/>
        <w:ind w:firstLine="480" w:firstLineChars="200"/>
        <w:rPr>
          <w:rFonts w:ascii="宋体" w:hAnsi="宋体"/>
          <w:b w:val="0"/>
          <w:bCs/>
          <w:color w:val="auto"/>
          <w:sz w:val="24"/>
          <w:szCs w:val="24"/>
        </w:rPr>
      </w:pPr>
      <w:bookmarkStart w:id="36" w:name="_Toc82222713"/>
      <w:bookmarkStart w:id="37" w:name="_Toc71968695"/>
      <w:bookmarkStart w:id="38" w:name="_Toc71968002"/>
      <w:bookmarkStart w:id="39" w:name="_Toc71968188"/>
      <w:bookmarkStart w:id="40" w:name="_Toc71968890"/>
      <w:bookmarkStart w:id="41" w:name="_Toc71967771"/>
      <w:bookmarkStart w:id="42" w:name="_Toc71881269"/>
      <w:r>
        <w:rPr>
          <w:rFonts w:hint="eastAsia" w:ascii="宋体" w:hAnsi="宋体"/>
          <w:b w:val="0"/>
          <w:bCs/>
          <w:color w:val="auto"/>
          <w:sz w:val="24"/>
          <w:szCs w:val="24"/>
        </w:rPr>
        <w:t>2、以上打分表内容，各参选单位必须在响应文件正副本中编制《评选材料目录》，将全部资料复印件及相关材料按打分表顺序依次排列并注明页码；需要提供原件资料的，同样编制目录，依次叠放并用档案袋单独密封。以便准确核实及评审。未按要求装订或提交的将不予认定。</w:t>
      </w:r>
    </w:p>
    <w:p>
      <w:pPr>
        <w:pStyle w:val="2"/>
        <w:numPr>
          <w:ilvl w:val="0"/>
          <w:numId w:val="0"/>
        </w:numPr>
        <w:jc w:val="center"/>
        <w:rPr>
          <w:rFonts w:hint="eastAsia" w:ascii="宋体" w:hAnsi="宋体" w:eastAsia="宋体"/>
          <w:b/>
          <w:color w:val="auto"/>
          <w:sz w:val="40"/>
          <w:szCs w:val="40"/>
        </w:rPr>
      </w:pPr>
      <w:r>
        <w:rPr>
          <w:rFonts w:hint="eastAsia" w:ascii="宋体" w:hAnsi="宋体" w:eastAsia="宋体"/>
          <w:b/>
          <w:color w:val="auto"/>
          <w:sz w:val="40"/>
          <w:szCs w:val="40"/>
        </w:rPr>
        <w:br w:type="page"/>
      </w:r>
      <w:bookmarkStart w:id="43" w:name="_Toc5506"/>
    </w:p>
    <w:p>
      <w:pPr>
        <w:pStyle w:val="2"/>
        <w:numPr>
          <w:ilvl w:val="0"/>
          <w:numId w:val="0"/>
        </w:numPr>
        <w:jc w:val="center"/>
        <w:rPr>
          <w:rFonts w:hint="eastAsia" w:ascii="宋体" w:hAnsi="宋体" w:eastAsia="宋体"/>
          <w:b/>
          <w:color w:val="auto"/>
          <w:sz w:val="40"/>
          <w:szCs w:val="40"/>
        </w:rPr>
      </w:pPr>
    </w:p>
    <w:p>
      <w:pPr>
        <w:pStyle w:val="2"/>
        <w:numPr>
          <w:ilvl w:val="0"/>
          <w:numId w:val="0"/>
        </w:numPr>
        <w:jc w:val="center"/>
        <w:rPr>
          <w:rFonts w:ascii="宋体" w:hAnsi="宋体" w:eastAsia="宋体"/>
          <w:b/>
          <w:color w:val="auto"/>
          <w:sz w:val="40"/>
          <w:szCs w:val="40"/>
        </w:rPr>
      </w:pPr>
      <w:r>
        <w:rPr>
          <w:rFonts w:hint="eastAsia" w:ascii="宋体" w:hAnsi="宋体" w:eastAsia="宋体"/>
          <w:b/>
          <w:color w:val="auto"/>
          <w:sz w:val="40"/>
          <w:szCs w:val="40"/>
        </w:rPr>
        <w:t>第二章  响应文件（格  式）</w:t>
      </w:r>
      <w:bookmarkEnd w:id="36"/>
      <w:bookmarkEnd w:id="43"/>
    </w:p>
    <w:bookmarkEnd w:id="37"/>
    <w:bookmarkEnd w:id="38"/>
    <w:bookmarkEnd w:id="39"/>
    <w:bookmarkEnd w:id="40"/>
    <w:bookmarkEnd w:id="41"/>
    <w:bookmarkEnd w:id="42"/>
    <w:p>
      <w:pPr>
        <w:rPr>
          <w:rFonts w:ascii="宋体" w:hAnsi="宋体" w:cs="Arial"/>
          <w:b/>
          <w:bCs/>
          <w:color w:val="auto"/>
          <w:sz w:val="32"/>
          <w:szCs w:val="32"/>
        </w:rPr>
      </w:pPr>
      <w:r>
        <w:rPr>
          <w:rFonts w:hint="eastAsia" w:ascii="宋体" w:hAnsi="宋体" w:cs="Arial"/>
          <w:b/>
          <w:bCs/>
          <w:color w:val="auto"/>
          <w:sz w:val="32"/>
          <w:szCs w:val="32"/>
        </w:rPr>
        <w:t xml:space="preserve">                     </w:t>
      </w:r>
    </w:p>
    <w:p>
      <w:pPr>
        <w:rPr>
          <w:rFonts w:hint="eastAsia" w:ascii="宋体" w:hAnsi="宋体" w:cs="Arial"/>
          <w:b/>
          <w:bCs/>
          <w:color w:val="auto"/>
          <w:sz w:val="32"/>
          <w:szCs w:val="32"/>
        </w:rPr>
      </w:pPr>
      <w:r>
        <w:rPr>
          <w:rFonts w:hint="eastAsia" w:ascii="宋体" w:hAnsi="宋体" w:cs="Arial"/>
          <w:b/>
          <w:bCs/>
          <w:color w:val="auto"/>
          <w:sz w:val="32"/>
          <w:szCs w:val="32"/>
        </w:rPr>
        <w:br w:type="page"/>
      </w:r>
    </w:p>
    <w:p>
      <w:pPr>
        <w:ind w:firstLine="3534" w:firstLineChars="1100"/>
        <w:rPr>
          <w:rFonts w:hint="eastAsia" w:ascii="宋体" w:hAnsi="宋体" w:cs="Arial"/>
          <w:b/>
          <w:bCs/>
          <w:color w:val="auto"/>
          <w:sz w:val="32"/>
          <w:szCs w:val="32"/>
        </w:rPr>
      </w:pPr>
    </w:p>
    <w:p>
      <w:pPr>
        <w:ind w:firstLine="3534" w:firstLineChars="1100"/>
        <w:rPr>
          <w:rFonts w:hint="eastAsia" w:ascii="宋体" w:hAnsi="宋体" w:cs="Arial"/>
          <w:b/>
          <w:bCs/>
          <w:color w:val="auto"/>
          <w:sz w:val="32"/>
          <w:szCs w:val="32"/>
        </w:rPr>
      </w:pPr>
    </w:p>
    <w:p>
      <w:pPr>
        <w:ind w:firstLine="3534" w:firstLineChars="1100"/>
        <w:rPr>
          <w:rFonts w:hint="eastAsia" w:ascii="宋体" w:hAnsi="宋体" w:cs="Arial"/>
          <w:b/>
          <w:bCs/>
          <w:color w:val="auto"/>
          <w:sz w:val="32"/>
          <w:szCs w:val="32"/>
        </w:rPr>
      </w:pPr>
    </w:p>
    <w:p>
      <w:pPr>
        <w:ind w:firstLine="3534" w:firstLineChars="1100"/>
        <w:rPr>
          <w:rFonts w:ascii="宋体" w:hAnsi="宋体" w:cs="Arial"/>
          <w:b/>
          <w:bCs/>
          <w:color w:val="auto"/>
          <w:sz w:val="32"/>
          <w:szCs w:val="32"/>
        </w:rPr>
      </w:pPr>
      <w:r>
        <w:rPr>
          <w:rFonts w:hint="eastAsia" w:ascii="宋体" w:hAnsi="宋体" w:cs="Arial"/>
          <w:b/>
          <w:bCs/>
          <w:color w:val="auto"/>
          <w:sz w:val="32"/>
          <w:szCs w:val="32"/>
        </w:rPr>
        <w:t>（封  面）</w:t>
      </w:r>
    </w:p>
    <w:p>
      <w:pPr>
        <w:rPr>
          <w:rFonts w:ascii="仿宋_GB2312" w:hAnsi="宋体" w:eastAsia="仿宋_GB2312" w:cs="Arial"/>
          <w:bCs/>
          <w:color w:val="auto"/>
          <w:sz w:val="32"/>
          <w:szCs w:val="32"/>
        </w:rPr>
      </w:pPr>
      <w:bookmarkStart w:id="44" w:name="_Hlk450146333"/>
    </w:p>
    <w:p>
      <w:pPr>
        <w:rPr>
          <w:rFonts w:ascii="仿宋_GB2312" w:hAnsi="宋体" w:eastAsia="仿宋_GB2312" w:cs="Arial"/>
          <w:bCs/>
          <w:color w:val="auto"/>
          <w:sz w:val="32"/>
          <w:szCs w:val="32"/>
        </w:rPr>
      </w:pPr>
    </w:p>
    <w:p>
      <w:pPr>
        <w:rPr>
          <w:rFonts w:ascii="仿宋_GB2312" w:hAnsi="宋体" w:eastAsia="仿宋_GB2312" w:cs="Arial"/>
          <w:bCs/>
          <w:color w:val="auto"/>
          <w:sz w:val="32"/>
          <w:szCs w:val="32"/>
        </w:rPr>
      </w:pPr>
    </w:p>
    <w:bookmarkEnd w:id="44"/>
    <w:p>
      <w:pPr>
        <w:spacing w:beforeLines="100" w:afterLines="100"/>
        <w:jc w:val="center"/>
        <w:rPr>
          <w:rFonts w:ascii="宋体" w:hAnsi="宋体" w:cs="Arial"/>
          <w:b/>
          <w:bCs/>
          <w:color w:val="auto"/>
          <w:sz w:val="56"/>
          <w:szCs w:val="56"/>
        </w:rPr>
      </w:pPr>
      <w:r>
        <w:rPr>
          <w:rFonts w:hint="eastAsia" w:ascii="宋体" w:hAnsi="宋体" w:cs="Arial"/>
          <w:b/>
          <w:bCs/>
          <w:color w:val="auto"/>
          <w:sz w:val="56"/>
          <w:szCs w:val="56"/>
        </w:rPr>
        <w:t>响应文件</w:t>
      </w:r>
    </w:p>
    <w:p>
      <w:pPr>
        <w:rPr>
          <w:rFonts w:ascii="仿宋_GB2312" w:hAnsi="宋体" w:eastAsia="仿宋_GB2312" w:cs="Arial"/>
          <w:bCs/>
          <w:color w:val="auto"/>
          <w:sz w:val="32"/>
          <w:szCs w:val="32"/>
        </w:rPr>
      </w:pPr>
    </w:p>
    <w:p>
      <w:pPr>
        <w:rPr>
          <w:rFonts w:ascii="仿宋_GB2312" w:hAnsi="宋体" w:eastAsia="仿宋_GB2312" w:cs="Arial"/>
          <w:bCs/>
          <w:color w:val="auto"/>
          <w:sz w:val="32"/>
          <w:szCs w:val="32"/>
        </w:rPr>
      </w:pPr>
    </w:p>
    <w:p>
      <w:pPr>
        <w:rPr>
          <w:rFonts w:ascii="仿宋_GB2312" w:hAnsi="宋体" w:eastAsia="仿宋_GB2312" w:cs="Arial"/>
          <w:bCs/>
          <w:color w:val="auto"/>
          <w:sz w:val="32"/>
          <w:szCs w:val="32"/>
        </w:rPr>
      </w:pPr>
    </w:p>
    <w:p>
      <w:pPr>
        <w:rPr>
          <w:rFonts w:ascii="仿宋_GB2312" w:hAnsi="宋体" w:eastAsia="仿宋_GB2312" w:cs="Arial"/>
          <w:bCs/>
          <w:color w:val="auto"/>
          <w:sz w:val="32"/>
          <w:szCs w:val="32"/>
        </w:rPr>
      </w:pPr>
    </w:p>
    <w:p>
      <w:pPr>
        <w:rPr>
          <w:rFonts w:ascii="仿宋_GB2312" w:hAnsi="宋体" w:eastAsia="仿宋_GB2312" w:cs="Arial"/>
          <w:bCs/>
          <w:color w:val="auto"/>
          <w:sz w:val="32"/>
          <w:szCs w:val="32"/>
        </w:rPr>
      </w:pPr>
    </w:p>
    <w:p>
      <w:pPr>
        <w:ind w:firstLine="964" w:firstLineChars="300"/>
        <w:rPr>
          <w:rFonts w:ascii="宋体" w:hAnsi="宋体" w:cs="Arial"/>
          <w:b/>
          <w:bCs/>
          <w:color w:val="auto"/>
          <w:sz w:val="32"/>
          <w:szCs w:val="32"/>
        </w:rPr>
      </w:pPr>
      <w:r>
        <w:rPr>
          <w:rFonts w:hint="eastAsia" w:ascii="宋体" w:hAnsi="宋体" w:cs="Arial"/>
          <w:b/>
          <w:bCs/>
          <w:color w:val="auto"/>
          <w:sz w:val="32"/>
          <w:szCs w:val="32"/>
        </w:rPr>
        <w:t xml:space="preserve">项目名称:                                   </w:t>
      </w:r>
    </w:p>
    <w:p>
      <w:pPr>
        <w:ind w:firstLine="964" w:firstLineChars="300"/>
        <w:rPr>
          <w:rFonts w:ascii="宋体" w:hAnsi="宋体" w:cs="Arial"/>
          <w:b/>
          <w:bCs/>
          <w:color w:val="auto"/>
          <w:sz w:val="32"/>
          <w:szCs w:val="32"/>
        </w:rPr>
      </w:pPr>
      <w:r>
        <w:rPr>
          <w:rFonts w:hint="eastAsia" w:ascii="宋体" w:hAnsi="宋体" w:cs="Arial"/>
          <w:b/>
          <w:bCs/>
          <w:color w:val="auto"/>
          <w:sz w:val="32"/>
          <w:szCs w:val="32"/>
        </w:rPr>
        <w:t>文件编号：</w:t>
      </w:r>
    </w:p>
    <w:p>
      <w:pPr>
        <w:jc w:val="center"/>
        <w:rPr>
          <w:rFonts w:ascii="宋体" w:hAnsi="宋体" w:cs="Arial"/>
          <w:b/>
          <w:bCs/>
          <w:color w:val="auto"/>
          <w:sz w:val="32"/>
          <w:szCs w:val="32"/>
        </w:rPr>
      </w:pPr>
    </w:p>
    <w:p>
      <w:pPr>
        <w:rPr>
          <w:rFonts w:ascii="宋体" w:hAnsi="宋体" w:cs="Arial"/>
          <w:b/>
          <w:bCs/>
          <w:color w:val="auto"/>
          <w:sz w:val="32"/>
          <w:szCs w:val="32"/>
        </w:rPr>
      </w:pPr>
    </w:p>
    <w:p>
      <w:pPr>
        <w:rPr>
          <w:rFonts w:ascii="宋体" w:hAnsi="宋体" w:cs="Arial"/>
          <w:b/>
          <w:bCs/>
          <w:color w:val="auto"/>
          <w:sz w:val="32"/>
          <w:szCs w:val="32"/>
        </w:rPr>
      </w:pPr>
    </w:p>
    <w:p>
      <w:pPr>
        <w:rPr>
          <w:rFonts w:ascii="宋体" w:hAnsi="宋体" w:cs="Arial"/>
          <w:b/>
          <w:bCs/>
          <w:color w:val="auto"/>
          <w:sz w:val="32"/>
          <w:szCs w:val="32"/>
        </w:rPr>
      </w:pPr>
    </w:p>
    <w:p>
      <w:pPr>
        <w:rPr>
          <w:rFonts w:ascii="宋体" w:hAnsi="宋体" w:cs="Arial"/>
          <w:b/>
          <w:bCs/>
          <w:color w:val="auto"/>
          <w:sz w:val="32"/>
          <w:szCs w:val="32"/>
        </w:rPr>
      </w:pPr>
    </w:p>
    <w:p>
      <w:pPr>
        <w:rPr>
          <w:rFonts w:ascii="宋体" w:hAnsi="宋体" w:cs="Arial"/>
          <w:b/>
          <w:bCs/>
          <w:color w:val="auto"/>
          <w:sz w:val="32"/>
          <w:szCs w:val="32"/>
        </w:rPr>
      </w:pPr>
    </w:p>
    <w:p>
      <w:pPr>
        <w:jc w:val="center"/>
        <w:rPr>
          <w:rFonts w:ascii="宋体" w:hAnsi="宋体" w:cs="Arial"/>
          <w:b/>
          <w:bCs/>
          <w:color w:val="auto"/>
          <w:sz w:val="32"/>
          <w:szCs w:val="32"/>
          <w:u w:val="single"/>
        </w:rPr>
      </w:pPr>
      <w:r>
        <w:rPr>
          <w:rFonts w:hint="eastAsia" w:ascii="宋体" w:hAnsi="宋体" w:cs="Arial"/>
          <w:b/>
          <w:bCs/>
          <w:color w:val="auto"/>
          <w:sz w:val="32"/>
          <w:szCs w:val="32"/>
        </w:rPr>
        <w:t>响应人：</w:t>
      </w:r>
      <w:r>
        <w:rPr>
          <w:rFonts w:hint="eastAsia" w:ascii="宋体" w:hAnsi="宋体" w:cs="Arial"/>
          <w:b/>
          <w:bCs/>
          <w:color w:val="auto"/>
          <w:sz w:val="32"/>
          <w:szCs w:val="32"/>
          <w:u w:val="single"/>
        </w:rPr>
        <w:t xml:space="preserve">     （盖章）   </w:t>
      </w:r>
    </w:p>
    <w:p>
      <w:pPr>
        <w:ind w:firstLine="2731" w:firstLineChars="850"/>
        <w:rPr>
          <w:rFonts w:ascii="宋体" w:hAnsi="宋体" w:cs="Arial"/>
          <w:b/>
          <w:bCs/>
          <w:color w:val="auto"/>
          <w:sz w:val="32"/>
          <w:szCs w:val="32"/>
          <w:u w:val="single"/>
        </w:rPr>
      </w:pPr>
    </w:p>
    <w:p>
      <w:pPr>
        <w:ind w:firstLine="2731" w:firstLineChars="850"/>
        <w:rPr>
          <w:rFonts w:ascii="宋体" w:hAnsi="宋体" w:cs="Arial"/>
          <w:b/>
          <w:bCs/>
          <w:color w:val="auto"/>
          <w:sz w:val="32"/>
          <w:szCs w:val="32"/>
        </w:rPr>
      </w:pPr>
      <w:r>
        <w:rPr>
          <w:rFonts w:hint="eastAsia" w:ascii="宋体" w:hAnsi="宋体" w:cs="Arial"/>
          <w:b/>
          <w:bCs/>
          <w:color w:val="auto"/>
          <w:sz w:val="32"/>
          <w:szCs w:val="32"/>
          <w:u w:val="single"/>
        </w:rPr>
        <w:t xml:space="preserve">    </w:t>
      </w:r>
      <w:r>
        <w:rPr>
          <w:rFonts w:hint="eastAsia" w:ascii="宋体" w:hAnsi="宋体" w:cs="Arial"/>
          <w:b/>
          <w:bCs/>
          <w:color w:val="auto"/>
          <w:sz w:val="32"/>
          <w:szCs w:val="32"/>
          <w:u w:val="single"/>
          <w:lang w:val="en-US" w:eastAsia="zh-CN"/>
        </w:rPr>
        <w:t xml:space="preserve"> </w:t>
      </w:r>
      <w:r>
        <w:rPr>
          <w:rFonts w:hint="eastAsia" w:ascii="宋体" w:hAnsi="宋体" w:cs="Arial"/>
          <w:b/>
          <w:bCs/>
          <w:color w:val="auto"/>
          <w:sz w:val="32"/>
          <w:szCs w:val="32"/>
          <w:u w:val="single"/>
        </w:rPr>
        <w:t xml:space="preserve">  </w:t>
      </w:r>
      <w:r>
        <w:rPr>
          <w:rFonts w:hint="eastAsia" w:ascii="宋体" w:hAnsi="宋体" w:cs="Arial"/>
          <w:b/>
          <w:bCs/>
          <w:color w:val="auto"/>
          <w:sz w:val="32"/>
          <w:szCs w:val="32"/>
        </w:rPr>
        <w:t>年</w:t>
      </w:r>
      <w:r>
        <w:rPr>
          <w:rFonts w:hint="eastAsia" w:ascii="宋体" w:hAnsi="宋体" w:cs="Arial"/>
          <w:b/>
          <w:bCs/>
          <w:color w:val="auto"/>
          <w:sz w:val="32"/>
          <w:szCs w:val="32"/>
          <w:u w:val="single"/>
        </w:rPr>
        <w:t xml:space="preserve">   </w:t>
      </w:r>
      <w:r>
        <w:rPr>
          <w:rFonts w:hint="eastAsia" w:ascii="宋体" w:hAnsi="宋体" w:cs="Arial"/>
          <w:b/>
          <w:bCs/>
          <w:color w:val="auto"/>
          <w:sz w:val="32"/>
          <w:szCs w:val="32"/>
        </w:rPr>
        <w:t>月</w:t>
      </w:r>
      <w:r>
        <w:rPr>
          <w:rFonts w:hint="eastAsia" w:ascii="宋体" w:hAnsi="宋体" w:cs="Arial"/>
          <w:b/>
          <w:bCs/>
          <w:color w:val="auto"/>
          <w:sz w:val="32"/>
          <w:szCs w:val="32"/>
          <w:u w:val="single"/>
        </w:rPr>
        <w:t xml:space="preserve">   </w:t>
      </w:r>
      <w:r>
        <w:rPr>
          <w:rFonts w:hint="eastAsia" w:ascii="宋体" w:hAnsi="宋体" w:cs="Arial"/>
          <w:b/>
          <w:bCs/>
          <w:color w:val="auto"/>
          <w:sz w:val="32"/>
          <w:szCs w:val="32"/>
        </w:rPr>
        <w:t>日</w:t>
      </w:r>
    </w:p>
    <w:p>
      <w:pPr>
        <w:pStyle w:val="3"/>
        <w:spacing w:line="240" w:lineRule="auto"/>
        <w:ind w:firstLine="3253" w:firstLineChars="900"/>
        <w:rPr>
          <w:rFonts w:hint="eastAsia" w:ascii="宋体" w:hAnsi="宋体" w:eastAsia="宋体" w:cs="Arial"/>
          <w:color w:val="auto"/>
          <w:sz w:val="36"/>
          <w:szCs w:val="36"/>
          <w:lang w:val="en-US" w:eastAsia="zh-CN"/>
        </w:rPr>
      </w:pPr>
      <w:bookmarkStart w:id="45" w:name="_Hlk450146465"/>
      <w:bookmarkStart w:id="46" w:name="_Toc71968189"/>
      <w:bookmarkStart w:id="47" w:name="_Toc82222715"/>
      <w:bookmarkStart w:id="48" w:name="_Toc71967772"/>
      <w:bookmarkStart w:id="49" w:name="_Toc71881270"/>
      <w:bookmarkStart w:id="50" w:name="_Toc194132885"/>
      <w:bookmarkStart w:id="51" w:name="_Toc71968891"/>
      <w:bookmarkStart w:id="52" w:name="_Toc71968696"/>
      <w:bookmarkStart w:id="53" w:name="_Toc1768"/>
      <w:bookmarkStart w:id="54" w:name="_Toc71968003"/>
      <w:r>
        <w:rPr>
          <w:rFonts w:hint="eastAsia" w:ascii="宋体" w:hAnsi="宋体" w:eastAsia="宋体" w:cs="Arial"/>
          <w:color w:val="auto"/>
          <w:sz w:val="36"/>
          <w:szCs w:val="36"/>
          <w:lang w:val="en-US" w:eastAsia="zh-CN"/>
        </w:rPr>
        <w:t xml:space="preserve"> </w:t>
      </w:r>
    </w:p>
    <w:p>
      <w:pPr>
        <w:pStyle w:val="3"/>
        <w:spacing w:line="240" w:lineRule="auto"/>
        <w:ind w:firstLine="3253" w:firstLineChars="900"/>
        <w:rPr>
          <w:rFonts w:ascii="宋体" w:hAnsi="宋体" w:eastAsia="宋体" w:cs="Arial"/>
          <w:color w:val="auto"/>
          <w:sz w:val="36"/>
          <w:szCs w:val="36"/>
        </w:rPr>
      </w:pPr>
    </w:p>
    <w:p>
      <w:pPr>
        <w:pStyle w:val="3"/>
        <w:spacing w:line="240" w:lineRule="auto"/>
        <w:ind w:firstLine="3253" w:firstLineChars="900"/>
        <w:rPr>
          <w:rFonts w:ascii="宋体" w:hAnsi="宋体" w:eastAsia="宋体" w:cs="Arial"/>
          <w:color w:val="auto"/>
          <w:sz w:val="36"/>
          <w:szCs w:val="36"/>
        </w:rPr>
      </w:pPr>
    </w:p>
    <w:p>
      <w:pPr>
        <w:pStyle w:val="3"/>
        <w:spacing w:line="240" w:lineRule="auto"/>
        <w:ind w:firstLine="3253" w:firstLineChars="900"/>
        <w:rPr>
          <w:rFonts w:ascii="宋体" w:hAnsi="宋体" w:eastAsia="宋体" w:cs="Arial"/>
          <w:color w:val="auto"/>
          <w:sz w:val="36"/>
          <w:szCs w:val="36"/>
        </w:rPr>
      </w:pPr>
    </w:p>
    <w:p>
      <w:pPr>
        <w:pStyle w:val="58"/>
        <w:ind w:right="561"/>
        <w:jc w:val="center"/>
        <w:outlineLvl w:val="1"/>
        <w:rPr>
          <w:rFonts w:ascii="宋体" w:hAnsi="宋体"/>
          <w:b/>
          <w:color w:val="auto"/>
          <w:sz w:val="24"/>
        </w:rPr>
      </w:pPr>
      <w:r>
        <w:rPr>
          <w:color w:val="auto"/>
        </w:rPr>
        <w:br w:type="page"/>
      </w:r>
      <w:r>
        <w:rPr>
          <w:rFonts w:hint="eastAsia" w:ascii="宋体" w:hAnsi="宋体" w:cs="Arial"/>
          <w:b/>
          <w:bCs/>
          <w:color w:val="auto"/>
          <w:sz w:val="36"/>
          <w:szCs w:val="36"/>
        </w:rPr>
        <w:t>一、响应函</w:t>
      </w:r>
    </w:p>
    <w:p>
      <w:pPr>
        <w:spacing w:line="360" w:lineRule="auto"/>
        <w:rPr>
          <w:rFonts w:hint="eastAsia" w:ascii="宋体" w:hAnsi="宋体"/>
          <w:color w:val="auto"/>
          <w:sz w:val="24"/>
        </w:rPr>
      </w:pPr>
    </w:p>
    <w:p>
      <w:pPr>
        <w:spacing w:line="360" w:lineRule="auto"/>
        <w:rPr>
          <w:rFonts w:ascii="宋体" w:hAnsi="宋体"/>
          <w:color w:val="auto"/>
          <w:sz w:val="24"/>
          <w:u w:val="single"/>
        </w:rPr>
      </w:pPr>
      <w:r>
        <w:rPr>
          <w:rFonts w:hint="eastAsia" w:ascii="宋体" w:hAnsi="宋体"/>
          <w:color w:val="auto"/>
          <w:sz w:val="24"/>
        </w:rPr>
        <w:t xml:space="preserve">致： </w:t>
      </w:r>
      <w:r>
        <w:rPr>
          <w:rFonts w:hint="eastAsia" w:ascii="宋体" w:hAnsi="宋体"/>
          <w:color w:val="auto"/>
          <w:sz w:val="24"/>
          <w:u w:val="single"/>
        </w:rPr>
        <w:t xml:space="preserve">            </w:t>
      </w:r>
      <w:r>
        <w:rPr>
          <w:rFonts w:hint="eastAsia" w:ascii="宋体" w:hAnsi="宋体"/>
          <w:color w:val="auto"/>
          <w:sz w:val="24"/>
        </w:rPr>
        <w:t>（遴选人）</w:t>
      </w:r>
    </w:p>
    <w:p>
      <w:pPr>
        <w:spacing w:line="360" w:lineRule="auto"/>
        <w:ind w:firstLine="720" w:firstLineChars="300"/>
        <w:rPr>
          <w:rFonts w:ascii="宋体" w:hAnsi="宋体"/>
          <w:color w:val="auto"/>
          <w:sz w:val="24"/>
        </w:rPr>
      </w:pPr>
      <w:r>
        <w:rPr>
          <w:rFonts w:hint="eastAsia" w:ascii="宋体" w:hAnsi="宋体"/>
          <w:color w:val="auto"/>
          <w:sz w:val="24"/>
        </w:rPr>
        <w:t>根据贵方为</w:t>
      </w:r>
      <w:r>
        <w:rPr>
          <w:rFonts w:hint="eastAsia" w:ascii="宋体" w:hAnsi="宋体"/>
          <w:color w:val="auto"/>
          <w:sz w:val="24"/>
          <w:u w:val="single"/>
        </w:rPr>
        <w:t xml:space="preserve">             </w:t>
      </w:r>
      <w:r>
        <w:rPr>
          <w:rFonts w:hint="eastAsia" w:ascii="宋体" w:hAnsi="宋体"/>
          <w:color w:val="auto"/>
          <w:sz w:val="24"/>
        </w:rPr>
        <w:t>（遴选项目名称）的遴选邀请（遴选委托代理编号：</w:t>
      </w:r>
      <w:r>
        <w:rPr>
          <w:rFonts w:hint="eastAsia" w:ascii="宋体" w:hAnsi="宋体"/>
          <w:color w:val="auto"/>
          <w:sz w:val="24"/>
          <w:u w:val="single"/>
        </w:rPr>
        <w:t xml:space="preserve">         </w:t>
      </w:r>
      <w:r>
        <w:rPr>
          <w:rFonts w:hint="eastAsia" w:ascii="宋体" w:hAnsi="宋体"/>
          <w:color w:val="auto"/>
          <w:sz w:val="24"/>
        </w:rPr>
        <w:t xml:space="preserve">），签字代表 </w:t>
      </w:r>
      <w:r>
        <w:rPr>
          <w:rFonts w:hint="eastAsia" w:ascii="宋体" w:hAnsi="宋体"/>
          <w:color w:val="auto"/>
          <w:sz w:val="24"/>
          <w:u w:val="single"/>
        </w:rPr>
        <w:t xml:space="preserve">        </w:t>
      </w:r>
      <w:r>
        <w:rPr>
          <w:rFonts w:hint="eastAsia" w:ascii="宋体" w:hAnsi="宋体"/>
          <w:color w:val="auto"/>
          <w:sz w:val="24"/>
        </w:rPr>
        <w:t>（姓名、职务）经正式授权并代表申请人</w:t>
      </w:r>
      <w:r>
        <w:rPr>
          <w:rFonts w:hint="eastAsia" w:ascii="宋体" w:hAnsi="宋体"/>
          <w:color w:val="auto"/>
          <w:sz w:val="24"/>
          <w:u w:val="single"/>
        </w:rPr>
        <w:t xml:space="preserve">       </w:t>
      </w:r>
      <w:r>
        <w:rPr>
          <w:rFonts w:hint="eastAsia" w:ascii="宋体" w:hAnsi="宋体"/>
          <w:color w:val="auto"/>
          <w:sz w:val="24"/>
        </w:rPr>
        <w:t xml:space="preserve"> （申请人名称、地址）提交下述文件正本一份、副本</w:t>
      </w:r>
      <w:r>
        <w:rPr>
          <w:rFonts w:hint="eastAsia" w:ascii="宋体" w:hAnsi="宋体"/>
          <w:color w:val="auto"/>
          <w:sz w:val="24"/>
          <w:u w:val="single"/>
        </w:rPr>
        <w:t xml:space="preserve">     </w:t>
      </w:r>
      <w:r>
        <w:rPr>
          <w:rFonts w:hint="eastAsia" w:ascii="宋体" w:hAnsi="宋体"/>
          <w:color w:val="auto"/>
          <w:sz w:val="24"/>
        </w:rPr>
        <w:t>份，并在此声明，所递交的响应文件内容完整、真实。</w:t>
      </w:r>
    </w:p>
    <w:p>
      <w:pPr>
        <w:spacing w:line="360" w:lineRule="auto"/>
        <w:ind w:firstLine="720" w:firstLineChars="300"/>
        <w:rPr>
          <w:rFonts w:ascii="宋体" w:hAnsi="宋体"/>
          <w:color w:val="auto"/>
          <w:sz w:val="24"/>
        </w:rPr>
      </w:pPr>
      <w:r>
        <w:rPr>
          <w:rFonts w:hint="eastAsia" w:ascii="宋体" w:hAnsi="宋体"/>
          <w:color w:val="auto"/>
          <w:sz w:val="24"/>
        </w:rPr>
        <w:t>1、响应文件组成</w:t>
      </w:r>
    </w:p>
    <w:p>
      <w:pPr>
        <w:spacing w:line="360" w:lineRule="auto"/>
        <w:ind w:firstLine="480" w:firstLineChars="200"/>
        <w:rPr>
          <w:rFonts w:ascii="宋体" w:hAnsi="宋体"/>
          <w:color w:val="auto"/>
          <w:sz w:val="24"/>
        </w:rPr>
      </w:pPr>
      <w:r>
        <w:rPr>
          <w:rFonts w:hint="eastAsia" w:ascii="宋体" w:hAnsi="宋体"/>
          <w:color w:val="auto"/>
          <w:sz w:val="24"/>
        </w:rPr>
        <w:t>（1）响应函；</w:t>
      </w:r>
    </w:p>
    <w:p>
      <w:pPr>
        <w:tabs>
          <w:tab w:val="left" w:pos="1298"/>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bCs/>
          <w:color w:val="auto"/>
          <w:sz w:val="24"/>
        </w:rPr>
        <w:t>商务条款响应/偏离表</w:t>
      </w:r>
      <w:r>
        <w:rPr>
          <w:rFonts w:hint="eastAsia" w:ascii="宋体" w:hAnsi="宋体"/>
          <w:color w:val="auto"/>
          <w:sz w:val="24"/>
        </w:rPr>
        <w:t>；</w:t>
      </w:r>
    </w:p>
    <w:p>
      <w:pPr>
        <w:spacing w:line="360" w:lineRule="auto"/>
        <w:ind w:left="675"/>
        <w:rPr>
          <w:rFonts w:ascii="宋体" w:hAnsi="宋体"/>
          <w:color w:val="auto"/>
          <w:sz w:val="24"/>
        </w:rPr>
      </w:pPr>
      <w:r>
        <w:rPr>
          <w:rFonts w:hint="eastAsia" w:ascii="宋体" w:hAnsi="宋体"/>
          <w:color w:val="auto"/>
          <w:sz w:val="24"/>
        </w:rPr>
        <w:t>2、据此函，签字代表宣布同意如下：</w:t>
      </w:r>
    </w:p>
    <w:p>
      <w:pPr>
        <w:tabs>
          <w:tab w:val="left" w:pos="1298"/>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（1）、申请人将按遴选文件的规定履行合同责任和义务。</w:t>
      </w:r>
    </w:p>
    <w:p>
      <w:pPr>
        <w:tabs>
          <w:tab w:val="left" w:pos="1298"/>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（2）、申请人已详细审查全部遴选文件，包括修改文件（如果有的话）。我们完全理解并同意放弃对这方面有不明及误解的权力。</w:t>
      </w:r>
    </w:p>
    <w:p>
      <w:pPr>
        <w:spacing w:line="360" w:lineRule="auto"/>
        <w:ind w:firstLine="480" w:firstLineChars="200"/>
        <w:rPr>
          <w:rFonts w:ascii="宋体" w:hAnsi="宋体"/>
          <w:color w:val="auto"/>
          <w:sz w:val="24"/>
        </w:rPr>
      </w:pPr>
      <w:r>
        <w:rPr>
          <w:rFonts w:hint="eastAsia" w:ascii="宋体" w:hAnsi="宋体"/>
          <w:color w:val="auto"/>
          <w:sz w:val="24"/>
        </w:rPr>
        <w:t>（3）、本响应文件有效期为自遴选文件规定的提交响应文件截止之日起</w:t>
      </w:r>
      <w:r>
        <w:rPr>
          <w:rFonts w:hint="eastAsia" w:ascii="宋体" w:hAnsi="宋体"/>
          <w:color w:val="auto"/>
          <w:sz w:val="24"/>
          <w:u w:val="single"/>
        </w:rPr>
        <w:t>90</w:t>
      </w:r>
      <w:r>
        <w:rPr>
          <w:rFonts w:hint="eastAsia" w:ascii="宋体" w:hAnsi="宋体"/>
          <w:color w:val="auto"/>
          <w:sz w:val="24"/>
        </w:rPr>
        <w:t>个日历日。在响应文件有效期内我方同意遵守本响应文件中的承诺且在此期限期满之前响应文件对我方具有法律约束力。</w:t>
      </w:r>
    </w:p>
    <w:p>
      <w:pPr>
        <w:spacing w:line="360" w:lineRule="auto"/>
        <w:ind w:firstLine="720" w:firstLineChars="300"/>
        <w:rPr>
          <w:rFonts w:ascii="宋体" w:hAnsi="宋体"/>
          <w:color w:val="auto"/>
          <w:sz w:val="24"/>
        </w:rPr>
      </w:pPr>
      <w:r>
        <w:rPr>
          <w:rFonts w:hint="eastAsia" w:ascii="宋体" w:hAnsi="宋体"/>
          <w:color w:val="auto"/>
          <w:sz w:val="24"/>
        </w:rPr>
        <w:t>3、与本遴选有关的一切正式往来通讯请寄：</w:t>
      </w:r>
    </w:p>
    <w:p>
      <w:pPr>
        <w:spacing w:line="360" w:lineRule="auto"/>
        <w:ind w:left="690"/>
        <w:rPr>
          <w:rFonts w:ascii="宋体" w:hAnsi="宋体"/>
          <w:color w:val="auto"/>
          <w:sz w:val="24"/>
        </w:rPr>
      </w:pPr>
      <w:r>
        <w:rPr>
          <w:rFonts w:hint="eastAsia" w:ascii="宋体" w:hAnsi="宋体"/>
          <w:color w:val="auto"/>
          <w:sz w:val="24"/>
        </w:rPr>
        <w:t xml:space="preserve">地址： </w:t>
      </w:r>
      <w:r>
        <w:rPr>
          <w:rFonts w:hint="eastAsia" w:ascii="宋体" w:hAnsi="宋体"/>
          <w:color w:val="auto"/>
          <w:sz w:val="24"/>
          <w:u w:val="single"/>
        </w:rPr>
        <w:t xml:space="preserve">                    </w:t>
      </w:r>
      <w:r>
        <w:rPr>
          <w:rFonts w:hint="eastAsia" w:ascii="宋体" w:hAnsi="宋体"/>
          <w:color w:val="auto"/>
          <w:sz w:val="24"/>
        </w:rPr>
        <w:t xml:space="preserve">    邮编：</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left="690"/>
        <w:rPr>
          <w:rFonts w:ascii="宋体" w:hAnsi="宋体"/>
          <w:color w:val="auto"/>
          <w:sz w:val="24"/>
        </w:rPr>
      </w:pPr>
      <w:r>
        <w:rPr>
          <w:rFonts w:hint="eastAsia" w:ascii="宋体" w:hAnsi="宋体"/>
          <w:color w:val="auto"/>
          <w:sz w:val="24"/>
        </w:rPr>
        <w:t>电话：</w:t>
      </w:r>
      <w:r>
        <w:rPr>
          <w:rFonts w:hint="eastAsia" w:ascii="宋体" w:hAnsi="宋体"/>
          <w:color w:val="auto"/>
          <w:sz w:val="24"/>
          <w:u w:val="single"/>
        </w:rPr>
        <w:t xml:space="preserve">                      </w:t>
      </w:r>
      <w:r>
        <w:rPr>
          <w:rFonts w:hint="eastAsia" w:ascii="宋体" w:hAnsi="宋体"/>
          <w:color w:val="auto"/>
          <w:sz w:val="24"/>
        </w:rPr>
        <w:t xml:space="preserve">  传真：</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left="690"/>
        <w:rPr>
          <w:rFonts w:ascii="宋体" w:hAnsi="宋体"/>
          <w:color w:val="auto"/>
          <w:sz w:val="24"/>
          <w:u w:val="single"/>
        </w:rPr>
      </w:pPr>
      <w:r>
        <w:rPr>
          <w:rFonts w:hint="eastAsia" w:ascii="宋体" w:hAnsi="宋体"/>
          <w:color w:val="auto"/>
          <w:sz w:val="24"/>
        </w:rPr>
        <w:t>申请人代表姓名、职务：</w:t>
      </w:r>
      <w:r>
        <w:rPr>
          <w:rFonts w:hint="eastAsia" w:ascii="宋体" w:hAnsi="宋体"/>
          <w:color w:val="auto"/>
          <w:sz w:val="24"/>
          <w:u w:val="single"/>
        </w:rPr>
        <w:t xml:space="preserve">                                  </w:t>
      </w:r>
    </w:p>
    <w:p>
      <w:pPr>
        <w:spacing w:line="360" w:lineRule="auto"/>
        <w:ind w:left="690"/>
        <w:rPr>
          <w:rFonts w:ascii="宋体" w:hAnsi="宋体"/>
          <w:color w:val="auto"/>
          <w:sz w:val="24"/>
          <w:u w:val="single"/>
        </w:rPr>
      </w:pPr>
      <w:r>
        <w:rPr>
          <w:rFonts w:hint="eastAsia" w:ascii="宋体" w:hAnsi="宋体"/>
          <w:color w:val="auto"/>
          <w:sz w:val="24"/>
        </w:rPr>
        <w:t>申请人代表签字：</w:t>
      </w:r>
      <w:r>
        <w:rPr>
          <w:rFonts w:hint="eastAsia" w:ascii="宋体" w:hAnsi="宋体"/>
          <w:color w:val="auto"/>
          <w:sz w:val="24"/>
          <w:u w:val="single"/>
        </w:rPr>
        <w:t xml:space="preserve">                                        </w:t>
      </w:r>
    </w:p>
    <w:p>
      <w:pPr>
        <w:spacing w:line="360" w:lineRule="auto"/>
        <w:ind w:left="690"/>
        <w:rPr>
          <w:rFonts w:ascii="宋体" w:hAnsi="宋体"/>
          <w:color w:val="auto"/>
          <w:sz w:val="24"/>
        </w:rPr>
      </w:pPr>
      <w:r>
        <w:rPr>
          <w:rFonts w:hint="eastAsia" w:ascii="宋体" w:hAnsi="宋体"/>
          <w:color w:val="auto"/>
          <w:sz w:val="24"/>
        </w:rPr>
        <w:t>申请人名称：</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left="690"/>
        <w:rPr>
          <w:rFonts w:ascii="宋体" w:hAnsi="宋体"/>
          <w:color w:val="auto"/>
          <w:sz w:val="24"/>
        </w:rPr>
      </w:pPr>
      <w:r>
        <w:rPr>
          <w:rFonts w:hint="eastAsia" w:ascii="宋体" w:hAnsi="宋体"/>
          <w:color w:val="auto"/>
          <w:sz w:val="24"/>
        </w:rPr>
        <w:t>公章：</w:t>
      </w:r>
      <w:r>
        <w:rPr>
          <w:rFonts w:hint="eastAsia" w:ascii="宋体" w:hAnsi="宋体"/>
          <w:color w:val="auto"/>
          <w:sz w:val="24"/>
          <w:u w:val="single"/>
        </w:rPr>
        <w:t xml:space="preserve">                                                  </w:t>
      </w:r>
      <w:r>
        <w:rPr>
          <w:rFonts w:hint="eastAsia" w:ascii="宋体" w:hAnsi="宋体"/>
          <w:color w:val="auto"/>
          <w:sz w:val="24"/>
        </w:rPr>
        <w:t xml:space="preserve"> </w:t>
      </w:r>
    </w:p>
    <w:p>
      <w:pPr>
        <w:ind w:firstLine="720" w:firstLineChars="300"/>
        <w:rPr>
          <w:color w:val="auto"/>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bookmarkEnd w:id="45"/>
    <w:bookmarkEnd w:id="46"/>
    <w:bookmarkEnd w:id="47"/>
    <w:bookmarkEnd w:id="48"/>
    <w:bookmarkEnd w:id="49"/>
    <w:bookmarkEnd w:id="50"/>
    <w:bookmarkEnd w:id="51"/>
    <w:bookmarkEnd w:id="52"/>
    <w:bookmarkEnd w:id="53"/>
    <w:bookmarkEnd w:id="54"/>
    <w:p>
      <w:pPr>
        <w:rPr>
          <w:color w:val="auto"/>
        </w:rPr>
      </w:pPr>
      <w:bookmarkStart w:id="55" w:name="_Toc29571"/>
    </w:p>
    <w:p>
      <w:pPr>
        <w:rPr>
          <w:color w:val="auto"/>
        </w:rPr>
      </w:pPr>
    </w:p>
    <w:p>
      <w:pPr>
        <w:rPr>
          <w:color w:val="auto"/>
        </w:rPr>
      </w:pPr>
    </w:p>
    <w:p>
      <w:pPr>
        <w:rPr>
          <w:color w:val="auto"/>
        </w:rPr>
      </w:pPr>
    </w:p>
    <w:p>
      <w:pPr>
        <w:rPr>
          <w:color w:val="auto"/>
        </w:rPr>
      </w:pPr>
    </w:p>
    <w:p>
      <w:pPr>
        <w:rPr>
          <w:color w:val="auto"/>
        </w:rPr>
      </w:pPr>
    </w:p>
    <w:p>
      <w:pPr>
        <w:rPr>
          <w:color w:val="auto"/>
        </w:rPr>
      </w:pPr>
    </w:p>
    <w:p>
      <w:pPr>
        <w:rPr>
          <w:rFonts w:ascii="宋体" w:hAnsi="宋体" w:cs="Arial"/>
          <w:color w:val="auto"/>
          <w:sz w:val="36"/>
          <w:szCs w:val="36"/>
        </w:rPr>
      </w:pPr>
    </w:p>
    <w:p>
      <w:pPr>
        <w:pStyle w:val="58"/>
        <w:ind w:right="561"/>
        <w:jc w:val="center"/>
        <w:outlineLvl w:val="1"/>
        <w:rPr>
          <w:rFonts w:ascii="宋体" w:hAnsi="宋体" w:cs="Arial"/>
          <w:color w:val="auto"/>
          <w:sz w:val="36"/>
          <w:szCs w:val="36"/>
        </w:rPr>
      </w:pPr>
    </w:p>
    <w:p>
      <w:pPr>
        <w:pStyle w:val="58"/>
        <w:ind w:right="106" w:rightChars="0"/>
        <w:jc w:val="center"/>
        <w:outlineLvl w:val="1"/>
        <w:rPr>
          <w:rFonts w:ascii="宋体" w:hAnsi="宋体" w:cs="Arial"/>
          <w:b/>
          <w:bCs/>
          <w:color w:val="auto"/>
          <w:sz w:val="36"/>
          <w:szCs w:val="36"/>
        </w:rPr>
      </w:pPr>
      <w:r>
        <w:rPr>
          <w:rFonts w:hint="eastAsia" w:ascii="宋体" w:hAnsi="宋体" w:cs="Arial"/>
          <w:b/>
          <w:bCs/>
          <w:color w:val="auto"/>
          <w:sz w:val="36"/>
          <w:szCs w:val="36"/>
        </w:rPr>
        <w:t>二、法人授权委托书（格式）</w:t>
      </w:r>
      <w:bookmarkEnd w:id="55"/>
    </w:p>
    <w:p>
      <w:pPr>
        <w:pStyle w:val="58"/>
        <w:rPr>
          <w:b/>
          <w:bCs/>
          <w:color w:val="auto"/>
          <w:sz w:val="24"/>
          <w:szCs w:val="24"/>
        </w:rPr>
      </w:pPr>
    </w:p>
    <w:p>
      <w:pPr>
        <w:pStyle w:val="58"/>
        <w:jc w:val="center"/>
        <w:rPr>
          <w:b/>
          <w:bCs/>
          <w:color w:val="auto"/>
          <w:sz w:val="32"/>
          <w:szCs w:val="32"/>
        </w:rPr>
      </w:pPr>
      <w:r>
        <w:rPr>
          <w:rFonts w:hint="eastAsia"/>
          <w:b/>
          <w:bCs/>
          <w:color w:val="auto"/>
          <w:sz w:val="32"/>
          <w:szCs w:val="32"/>
        </w:rPr>
        <w:t>法人授权委托书</w:t>
      </w:r>
    </w:p>
    <w:p>
      <w:pPr>
        <w:pStyle w:val="58"/>
        <w:rPr>
          <w:rFonts w:hint="eastAsia" w:eastAsia="宋体"/>
          <w:color w:val="auto"/>
          <w:sz w:val="30"/>
          <w:szCs w:val="30"/>
          <w:lang w:eastAsia="zh-CN"/>
        </w:rPr>
      </w:pPr>
    </w:p>
    <w:p>
      <w:pPr>
        <w:pStyle w:val="58"/>
        <w:spacing w:line="360" w:lineRule="auto"/>
        <w:rPr>
          <w:color w:val="auto"/>
          <w:sz w:val="22"/>
        </w:rPr>
      </w:pPr>
      <w:r>
        <w:rPr>
          <w:rFonts w:hint="eastAsia"/>
          <w:b/>
          <w:bCs/>
          <w:color w:val="auto"/>
          <w:sz w:val="28"/>
          <w:szCs w:val="28"/>
        </w:rPr>
        <w:t>致海原县农业保险工作领导小组办公室</w:t>
      </w:r>
      <w:r>
        <w:rPr>
          <w:rFonts w:hint="eastAsia"/>
          <w:b/>
          <w:bCs/>
          <w:color w:val="auto"/>
          <w:sz w:val="28"/>
          <w:szCs w:val="28"/>
          <w:lang w:eastAsia="zh-CN"/>
        </w:rPr>
        <w:t>：</w:t>
      </w:r>
      <w:r>
        <w:rPr>
          <w:rFonts w:hint="eastAsia"/>
          <w:color w:val="auto"/>
          <w:sz w:val="22"/>
        </w:rPr>
        <w:t xml:space="preserve"> </w:t>
      </w:r>
    </w:p>
    <w:p>
      <w:pPr>
        <w:pStyle w:val="58"/>
        <w:spacing w:line="360" w:lineRule="auto"/>
        <w:ind w:firstLine="480" w:firstLineChars="200"/>
        <w:rPr>
          <w:color w:val="auto"/>
          <w:sz w:val="24"/>
          <w:szCs w:val="24"/>
        </w:rPr>
      </w:pPr>
      <w:r>
        <w:rPr>
          <w:rFonts w:hint="eastAsia"/>
          <w:color w:val="auto"/>
          <w:sz w:val="24"/>
          <w:szCs w:val="24"/>
        </w:rPr>
        <w:t>本授权委托书声明：我</w:t>
      </w:r>
      <w:r>
        <w:rPr>
          <w:rFonts w:hint="eastAsia"/>
          <w:color w:val="auto"/>
          <w:sz w:val="24"/>
          <w:szCs w:val="24"/>
          <w:u w:val="single"/>
        </w:rPr>
        <w:t xml:space="preserve"> (姓名)</w:t>
      </w:r>
      <w:r>
        <w:rPr>
          <w:rFonts w:hint="eastAsia"/>
          <w:color w:val="auto"/>
          <w:sz w:val="24"/>
          <w:szCs w:val="24"/>
        </w:rPr>
        <w:t>系</w:t>
      </w:r>
      <w:r>
        <w:rPr>
          <w:rFonts w:hint="eastAsia"/>
          <w:color w:val="auto"/>
          <w:sz w:val="24"/>
          <w:szCs w:val="24"/>
          <w:u w:val="single"/>
        </w:rPr>
        <w:t>(参选单位名称)</w:t>
      </w:r>
      <w:r>
        <w:rPr>
          <w:rFonts w:hint="eastAsia"/>
          <w:color w:val="auto"/>
          <w:sz w:val="24"/>
          <w:szCs w:val="24"/>
        </w:rPr>
        <w:t xml:space="preserve">的法定代表人（或负责人）,现授权委托 </w:t>
      </w:r>
      <w:r>
        <w:rPr>
          <w:rFonts w:hint="eastAsia"/>
          <w:color w:val="auto"/>
          <w:sz w:val="24"/>
          <w:szCs w:val="24"/>
          <w:u w:val="single"/>
        </w:rPr>
        <w:t>(姓名)</w:t>
      </w:r>
      <w:r>
        <w:rPr>
          <w:rFonts w:hint="eastAsia"/>
          <w:color w:val="auto"/>
          <w:sz w:val="24"/>
          <w:szCs w:val="24"/>
        </w:rPr>
        <w:t>为我公司代理人,以本公司的名义就</w:t>
      </w:r>
      <w:r>
        <w:rPr>
          <w:rFonts w:hint="eastAsia"/>
          <w:color w:val="auto"/>
          <w:sz w:val="24"/>
          <w:szCs w:val="24"/>
          <w:u w:val="single"/>
        </w:rPr>
        <w:t>海原县2022年至2024年政策性农业保险承保机构遴选项目</w:t>
      </w:r>
      <w:r>
        <w:rPr>
          <w:rFonts w:hint="eastAsia"/>
          <w:color w:val="auto"/>
          <w:sz w:val="24"/>
          <w:szCs w:val="24"/>
        </w:rPr>
        <w:t>。委托代理人在报价、评价、协议遴选过程中所签署的一切文件和处理与之有关的一切事务，我均予以承认。</w:t>
      </w:r>
    </w:p>
    <w:p>
      <w:pPr>
        <w:pStyle w:val="58"/>
        <w:spacing w:line="360" w:lineRule="auto"/>
        <w:ind w:firstLine="480" w:firstLineChars="200"/>
        <w:rPr>
          <w:color w:val="auto"/>
          <w:sz w:val="24"/>
          <w:szCs w:val="24"/>
        </w:rPr>
      </w:pPr>
      <w:r>
        <w:rPr>
          <w:rFonts w:hint="eastAsia"/>
          <w:color w:val="auto"/>
          <w:sz w:val="24"/>
          <w:szCs w:val="24"/>
        </w:rPr>
        <w:t>委托代理人无转委权。特此委托。</w:t>
      </w:r>
    </w:p>
    <w:p>
      <w:pPr>
        <w:pStyle w:val="58"/>
        <w:spacing w:line="360" w:lineRule="auto"/>
        <w:ind w:firstLine="480" w:firstLineChars="200"/>
        <w:rPr>
          <w:color w:val="auto"/>
          <w:sz w:val="24"/>
          <w:szCs w:val="24"/>
        </w:rPr>
      </w:pPr>
      <w:r>
        <w:rPr>
          <w:rFonts w:hint="eastAsia"/>
          <w:color w:val="auto"/>
          <w:sz w:val="24"/>
          <w:szCs w:val="24"/>
        </w:rPr>
        <w:t>法定代表人签字盖章：</w:t>
      </w:r>
    </w:p>
    <w:p>
      <w:pPr>
        <w:pStyle w:val="58"/>
        <w:spacing w:line="360" w:lineRule="auto"/>
        <w:ind w:firstLine="480" w:firstLineChars="200"/>
        <w:rPr>
          <w:color w:val="auto"/>
          <w:sz w:val="24"/>
          <w:szCs w:val="24"/>
        </w:rPr>
      </w:pPr>
      <w:r>
        <w:rPr>
          <w:rFonts w:hint="eastAsia"/>
          <w:color w:val="auto"/>
          <w:sz w:val="24"/>
          <w:szCs w:val="24"/>
        </w:rPr>
        <w:t>职 务：</w:t>
      </w:r>
    </w:p>
    <w:p>
      <w:pPr>
        <w:pStyle w:val="58"/>
        <w:spacing w:line="360" w:lineRule="auto"/>
        <w:ind w:firstLine="480" w:firstLineChars="200"/>
        <w:rPr>
          <w:color w:val="auto"/>
          <w:sz w:val="24"/>
          <w:szCs w:val="24"/>
        </w:rPr>
      </w:pPr>
      <w:r>
        <w:rPr>
          <w:rFonts w:hint="eastAsia"/>
          <w:color w:val="auto"/>
          <w:sz w:val="24"/>
          <w:szCs w:val="24"/>
        </w:rPr>
        <w:t>单位名称：</w:t>
      </w:r>
    </w:p>
    <w:p>
      <w:pPr>
        <w:pStyle w:val="58"/>
        <w:spacing w:line="360" w:lineRule="auto"/>
        <w:ind w:firstLine="480" w:firstLineChars="200"/>
        <w:rPr>
          <w:color w:val="auto"/>
          <w:sz w:val="24"/>
          <w:szCs w:val="24"/>
        </w:rPr>
      </w:pPr>
      <w:r>
        <w:rPr>
          <w:rFonts w:hint="eastAsia"/>
          <w:color w:val="auto"/>
          <w:sz w:val="24"/>
          <w:szCs w:val="24"/>
        </w:rPr>
        <w:t>联系电话：</w:t>
      </w:r>
    </w:p>
    <w:p>
      <w:pPr>
        <w:pStyle w:val="58"/>
        <w:spacing w:line="360" w:lineRule="auto"/>
        <w:ind w:firstLine="480" w:firstLineChars="200"/>
        <w:rPr>
          <w:color w:val="auto"/>
          <w:sz w:val="24"/>
          <w:szCs w:val="24"/>
        </w:rPr>
      </w:pPr>
      <w:r>
        <w:rPr>
          <w:rFonts w:hint="eastAsia"/>
          <w:color w:val="auto"/>
          <w:sz w:val="24"/>
          <w:szCs w:val="24"/>
        </w:rPr>
        <w:t>代理人（被授权人）签字盖章：</w:t>
      </w:r>
    </w:p>
    <w:p>
      <w:pPr>
        <w:pStyle w:val="58"/>
        <w:spacing w:line="360" w:lineRule="auto"/>
        <w:ind w:firstLine="480" w:firstLineChars="200"/>
        <w:rPr>
          <w:color w:val="auto"/>
          <w:sz w:val="24"/>
          <w:szCs w:val="24"/>
        </w:rPr>
      </w:pPr>
      <w:r>
        <w:rPr>
          <w:rFonts w:hint="eastAsia"/>
          <w:color w:val="auto"/>
          <w:sz w:val="24"/>
          <w:szCs w:val="24"/>
        </w:rPr>
        <w:t>职 务：</w:t>
      </w:r>
    </w:p>
    <w:p>
      <w:pPr>
        <w:pStyle w:val="58"/>
        <w:spacing w:line="360" w:lineRule="auto"/>
        <w:ind w:firstLine="480" w:firstLineChars="200"/>
        <w:rPr>
          <w:color w:val="auto"/>
          <w:sz w:val="24"/>
          <w:szCs w:val="24"/>
        </w:rPr>
      </w:pPr>
      <w:r>
        <w:rPr>
          <w:rFonts w:hint="eastAsia"/>
          <w:color w:val="auto"/>
          <w:sz w:val="24"/>
          <w:szCs w:val="24"/>
        </w:rPr>
        <w:t>单位名称：</w:t>
      </w:r>
    </w:p>
    <w:p>
      <w:pPr>
        <w:pStyle w:val="58"/>
        <w:spacing w:line="360" w:lineRule="auto"/>
        <w:ind w:firstLine="480" w:firstLineChars="200"/>
        <w:rPr>
          <w:color w:val="auto"/>
          <w:sz w:val="24"/>
          <w:szCs w:val="24"/>
        </w:rPr>
      </w:pPr>
      <w:r>
        <w:rPr>
          <w:rFonts w:hint="eastAsia"/>
          <w:color w:val="auto"/>
          <w:sz w:val="24"/>
          <w:szCs w:val="24"/>
        </w:rPr>
        <w:t>联系电话：</w:t>
      </w:r>
    </w:p>
    <w:p>
      <w:pPr>
        <w:pStyle w:val="58"/>
        <w:spacing w:line="360" w:lineRule="auto"/>
        <w:ind w:firstLine="480" w:firstLineChars="200"/>
        <w:rPr>
          <w:color w:val="auto"/>
          <w:sz w:val="24"/>
          <w:szCs w:val="24"/>
        </w:rPr>
      </w:pPr>
      <w:r>
        <w:rPr>
          <w:rFonts w:hint="eastAsia"/>
          <w:color w:val="auto"/>
          <w:sz w:val="24"/>
          <w:szCs w:val="24"/>
        </w:rPr>
        <w:t>参选名称： （公章）</w:t>
      </w:r>
    </w:p>
    <w:p>
      <w:pPr>
        <w:pStyle w:val="58"/>
        <w:spacing w:line="360" w:lineRule="auto"/>
        <w:ind w:firstLine="480" w:firstLineChars="200"/>
        <w:rPr>
          <w:color w:val="auto"/>
          <w:sz w:val="24"/>
          <w:szCs w:val="24"/>
        </w:rPr>
      </w:pPr>
      <w:r>
        <w:rPr>
          <w:rFonts w:hint="eastAsia"/>
          <w:color w:val="auto"/>
          <w:sz w:val="24"/>
          <w:szCs w:val="24"/>
        </w:rPr>
        <w:t>日 期：</w:t>
      </w:r>
    </w:p>
    <w:p>
      <w:pPr>
        <w:pStyle w:val="58"/>
        <w:spacing w:line="360" w:lineRule="auto"/>
        <w:jc w:val="center"/>
        <w:rPr>
          <w:rFonts w:hint="eastAsia"/>
          <w:color w:val="auto"/>
          <w:sz w:val="24"/>
          <w:szCs w:val="24"/>
        </w:rPr>
      </w:pPr>
      <w:bookmarkStart w:id="56" w:name="_Toc19087"/>
    </w:p>
    <w:p>
      <w:pPr>
        <w:pStyle w:val="58"/>
        <w:spacing w:line="360" w:lineRule="auto"/>
        <w:jc w:val="center"/>
        <w:rPr>
          <w:rFonts w:hint="eastAsia"/>
          <w:color w:val="auto"/>
          <w:sz w:val="24"/>
          <w:szCs w:val="24"/>
        </w:rPr>
      </w:pPr>
    </w:p>
    <w:p>
      <w:pPr>
        <w:pStyle w:val="58"/>
        <w:spacing w:line="360" w:lineRule="auto"/>
        <w:jc w:val="center"/>
        <w:rPr>
          <w:color w:val="auto"/>
          <w:sz w:val="24"/>
          <w:szCs w:val="24"/>
        </w:rPr>
      </w:pPr>
      <w:r>
        <w:rPr>
          <w:rFonts w:hint="eastAsia"/>
          <w:color w:val="auto"/>
          <w:sz w:val="24"/>
          <w:szCs w:val="24"/>
        </w:rPr>
        <w:t>（附：法人代表和代理人身份证复印件）</w:t>
      </w:r>
      <w:bookmarkEnd w:id="56"/>
    </w:p>
    <w:p>
      <w:pPr>
        <w:pStyle w:val="58"/>
        <w:ind w:right="561"/>
        <w:jc w:val="center"/>
        <w:outlineLvl w:val="1"/>
        <w:rPr>
          <w:rFonts w:ascii="宋体" w:hAnsi="宋体" w:cs="Arial"/>
          <w:b/>
          <w:bCs/>
          <w:color w:val="auto"/>
          <w:sz w:val="36"/>
          <w:szCs w:val="36"/>
        </w:rPr>
      </w:pPr>
      <w:r>
        <w:rPr>
          <w:rFonts w:hint="eastAsia"/>
          <w:color w:val="auto"/>
          <w:sz w:val="24"/>
          <w:szCs w:val="24"/>
        </w:rPr>
        <w:br w:type="page"/>
      </w:r>
      <w:bookmarkStart w:id="57" w:name="_Toc22396"/>
      <w:r>
        <w:rPr>
          <w:rFonts w:hint="eastAsia" w:ascii="宋体" w:hAnsi="宋体" w:cs="Arial"/>
          <w:b/>
          <w:bCs/>
          <w:color w:val="auto"/>
          <w:sz w:val="36"/>
          <w:szCs w:val="36"/>
        </w:rPr>
        <w:t>三、商务条款响应/偏离表</w:t>
      </w:r>
    </w:p>
    <w:p>
      <w:pPr>
        <w:pStyle w:val="58"/>
        <w:ind w:right="561"/>
        <w:jc w:val="left"/>
        <w:outlineLvl w:val="1"/>
        <w:rPr>
          <w:rFonts w:hint="eastAsia"/>
          <w:color w:val="auto"/>
          <w:sz w:val="24"/>
          <w:szCs w:val="24"/>
        </w:rPr>
      </w:pPr>
    </w:p>
    <w:p>
      <w:pPr>
        <w:pStyle w:val="58"/>
        <w:ind w:right="561"/>
        <w:jc w:val="left"/>
        <w:outlineLvl w:val="1"/>
        <w:rPr>
          <w:color w:val="auto"/>
          <w:sz w:val="24"/>
          <w:szCs w:val="24"/>
          <w:u w:val="single"/>
        </w:rPr>
      </w:pPr>
      <w:r>
        <w:rPr>
          <w:rFonts w:hint="eastAsia"/>
          <w:color w:val="auto"/>
          <w:sz w:val="24"/>
          <w:szCs w:val="24"/>
        </w:rPr>
        <w:t xml:space="preserve">遴选编号: </w:t>
      </w:r>
      <w:r>
        <w:rPr>
          <w:rFonts w:hint="eastAsia"/>
          <w:color w:val="auto"/>
          <w:sz w:val="24"/>
          <w:szCs w:val="24"/>
          <w:u w:val="single"/>
        </w:rPr>
        <w:t xml:space="preserve">                        </w:t>
      </w:r>
    </w:p>
    <w:p>
      <w:pPr>
        <w:pStyle w:val="58"/>
        <w:ind w:right="561"/>
        <w:jc w:val="left"/>
        <w:outlineLvl w:val="1"/>
        <w:rPr>
          <w:color w:val="auto"/>
          <w:sz w:val="24"/>
          <w:szCs w:val="24"/>
          <w:u w:val="single"/>
        </w:rPr>
      </w:pPr>
    </w:p>
    <w:tbl>
      <w:tblPr>
        <w:tblStyle w:val="4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38"/>
        <w:gridCol w:w="1494"/>
        <w:gridCol w:w="2167"/>
        <w:gridCol w:w="2045"/>
        <w:gridCol w:w="1188"/>
        <w:gridCol w:w="8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381" w:type="pct"/>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序号</w:t>
            </w:r>
          </w:p>
        </w:tc>
        <w:tc>
          <w:tcPr>
            <w:tcW w:w="893" w:type="pct"/>
            <w:vAlign w:val="center"/>
          </w:tcPr>
          <w:p>
            <w:pPr>
              <w:adjustRightInd w:val="0"/>
              <w:snapToGrid w:val="0"/>
              <w:ind w:left="-88" w:leftChars="-42"/>
              <w:jc w:val="center"/>
              <w:rPr>
                <w:rFonts w:hint="eastAsia" w:ascii="宋体" w:hAnsi="宋体"/>
                <w:color w:val="auto"/>
                <w:sz w:val="24"/>
              </w:rPr>
            </w:pPr>
            <w:r>
              <w:rPr>
                <w:rFonts w:hint="eastAsia" w:ascii="宋体" w:hAnsi="宋体"/>
                <w:color w:val="auto"/>
                <w:sz w:val="24"/>
              </w:rPr>
              <w:t>遴选文件</w:t>
            </w:r>
          </w:p>
          <w:p>
            <w:pPr>
              <w:adjustRightInd w:val="0"/>
              <w:snapToGrid w:val="0"/>
              <w:ind w:left="-88" w:leftChars="-42"/>
              <w:jc w:val="center"/>
              <w:rPr>
                <w:rFonts w:ascii="宋体" w:hAnsi="宋体"/>
                <w:color w:val="auto"/>
                <w:sz w:val="24"/>
              </w:rPr>
            </w:pPr>
            <w:r>
              <w:rPr>
                <w:rFonts w:hint="eastAsia" w:ascii="宋体" w:hAnsi="宋体"/>
                <w:color w:val="auto"/>
                <w:sz w:val="24"/>
              </w:rPr>
              <w:t>条目号</w:t>
            </w:r>
          </w:p>
        </w:tc>
        <w:tc>
          <w:tcPr>
            <w:tcW w:w="1295" w:type="pct"/>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遴选文件的商务条款</w:t>
            </w:r>
          </w:p>
        </w:tc>
        <w:tc>
          <w:tcPr>
            <w:tcW w:w="1222" w:type="pct"/>
            <w:vAlign w:val="center"/>
          </w:tcPr>
          <w:p>
            <w:pPr>
              <w:adjustRightInd w:val="0"/>
              <w:snapToGrid w:val="0"/>
              <w:ind w:left="-88" w:leftChars="-42"/>
              <w:jc w:val="center"/>
              <w:rPr>
                <w:rFonts w:hint="eastAsia" w:ascii="宋体" w:hAnsi="宋体"/>
                <w:color w:val="auto"/>
                <w:sz w:val="24"/>
              </w:rPr>
            </w:pPr>
            <w:r>
              <w:rPr>
                <w:rFonts w:hint="eastAsia" w:ascii="宋体" w:hAnsi="宋体"/>
                <w:color w:val="auto"/>
                <w:sz w:val="24"/>
              </w:rPr>
              <w:t>响应文件的</w:t>
            </w:r>
          </w:p>
          <w:p>
            <w:pPr>
              <w:adjustRightInd w:val="0"/>
              <w:snapToGrid w:val="0"/>
              <w:ind w:left="-88" w:leftChars="-42"/>
              <w:jc w:val="center"/>
              <w:rPr>
                <w:rFonts w:ascii="宋体" w:hAnsi="宋体"/>
                <w:color w:val="auto"/>
                <w:sz w:val="24"/>
              </w:rPr>
            </w:pPr>
            <w:r>
              <w:rPr>
                <w:rFonts w:hint="eastAsia" w:ascii="宋体" w:hAnsi="宋体"/>
                <w:color w:val="auto"/>
                <w:sz w:val="24"/>
              </w:rPr>
              <w:t>商务条款</w:t>
            </w:r>
          </w:p>
        </w:tc>
        <w:tc>
          <w:tcPr>
            <w:tcW w:w="710" w:type="pct"/>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响应/偏离</w:t>
            </w:r>
          </w:p>
        </w:tc>
        <w:tc>
          <w:tcPr>
            <w:tcW w:w="496" w:type="pct"/>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381" w:type="pct"/>
            <w:vAlign w:val="center"/>
          </w:tcPr>
          <w:p>
            <w:pPr>
              <w:adjustRightInd w:val="0"/>
              <w:snapToGrid w:val="0"/>
              <w:ind w:left="-88" w:leftChars="-42"/>
              <w:jc w:val="center"/>
              <w:rPr>
                <w:rFonts w:ascii="宋体" w:hAnsi="宋体"/>
                <w:color w:val="auto"/>
                <w:sz w:val="24"/>
              </w:rPr>
            </w:pPr>
          </w:p>
        </w:tc>
        <w:tc>
          <w:tcPr>
            <w:tcW w:w="893" w:type="pct"/>
            <w:vAlign w:val="center"/>
          </w:tcPr>
          <w:p>
            <w:pPr>
              <w:adjustRightInd w:val="0"/>
              <w:snapToGrid w:val="0"/>
              <w:ind w:left="-88" w:leftChars="-42"/>
              <w:jc w:val="center"/>
              <w:rPr>
                <w:rFonts w:ascii="宋体" w:hAnsi="宋体"/>
                <w:color w:val="auto"/>
                <w:sz w:val="24"/>
              </w:rPr>
            </w:pPr>
          </w:p>
        </w:tc>
        <w:tc>
          <w:tcPr>
            <w:tcW w:w="1295" w:type="pct"/>
            <w:vAlign w:val="center"/>
          </w:tcPr>
          <w:p>
            <w:pPr>
              <w:adjustRightInd w:val="0"/>
              <w:snapToGrid w:val="0"/>
              <w:ind w:left="-88" w:leftChars="-42"/>
              <w:jc w:val="center"/>
              <w:rPr>
                <w:rFonts w:ascii="宋体" w:hAnsi="宋体"/>
                <w:color w:val="auto"/>
                <w:sz w:val="24"/>
              </w:rPr>
            </w:pPr>
          </w:p>
        </w:tc>
        <w:tc>
          <w:tcPr>
            <w:tcW w:w="1222" w:type="pct"/>
            <w:vAlign w:val="center"/>
          </w:tcPr>
          <w:p>
            <w:pPr>
              <w:adjustRightInd w:val="0"/>
              <w:snapToGrid w:val="0"/>
              <w:ind w:left="-88" w:leftChars="-42"/>
              <w:jc w:val="center"/>
              <w:rPr>
                <w:rFonts w:ascii="宋体" w:hAnsi="宋体"/>
                <w:color w:val="auto"/>
                <w:sz w:val="24"/>
              </w:rPr>
            </w:pPr>
          </w:p>
        </w:tc>
        <w:tc>
          <w:tcPr>
            <w:tcW w:w="710" w:type="pct"/>
            <w:vAlign w:val="center"/>
          </w:tcPr>
          <w:p>
            <w:pPr>
              <w:adjustRightInd w:val="0"/>
              <w:snapToGrid w:val="0"/>
              <w:ind w:left="-88" w:leftChars="-42"/>
              <w:jc w:val="center"/>
              <w:rPr>
                <w:rFonts w:ascii="宋体" w:hAnsi="宋体"/>
                <w:color w:val="auto"/>
                <w:sz w:val="24"/>
              </w:rPr>
            </w:pPr>
          </w:p>
        </w:tc>
        <w:tc>
          <w:tcPr>
            <w:tcW w:w="496" w:type="pct"/>
            <w:vAlign w:val="center"/>
          </w:tcPr>
          <w:p>
            <w:pPr>
              <w:adjustRightInd w:val="0"/>
              <w:snapToGrid w:val="0"/>
              <w:ind w:left="-88" w:leftChars="-42"/>
              <w:jc w:val="center"/>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381" w:type="pct"/>
            <w:vAlign w:val="center"/>
          </w:tcPr>
          <w:p>
            <w:pPr>
              <w:adjustRightInd w:val="0"/>
              <w:snapToGrid w:val="0"/>
              <w:ind w:left="-88" w:leftChars="-42"/>
              <w:jc w:val="center"/>
              <w:rPr>
                <w:rFonts w:ascii="宋体" w:hAnsi="宋体"/>
                <w:color w:val="auto"/>
                <w:sz w:val="24"/>
              </w:rPr>
            </w:pPr>
          </w:p>
        </w:tc>
        <w:tc>
          <w:tcPr>
            <w:tcW w:w="893" w:type="pct"/>
            <w:vAlign w:val="center"/>
          </w:tcPr>
          <w:p>
            <w:pPr>
              <w:adjustRightInd w:val="0"/>
              <w:snapToGrid w:val="0"/>
              <w:ind w:left="-88" w:leftChars="-42"/>
              <w:jc w:val="center"/>
              <w:rPr>
                <w:rFonts w:ascii="宋体" w:hAnsi="宋体"/>
                <w:color w:val="auto"/>
                <w:sz w:val="24"/>
              </w:rPr>
            </w:pPr>
          </w:p>
        </w:tc>
        <w:tc>
          <w:tcPr>
            <w:tcW w:w="1295" w:type="pct"/>
            <w:vAlign w:val="center"/>
          </w:tcPr>
          <w:p>
            <w:pPr>
              <w:adjustRightInd w:val="0"/>
              <w:snapToGrid w:val="0"/>
              <w:ind w:left="-88" w:leftChars="-42"/>
              <w:jc w:val="center"/>
              <w:rPr>
                <w:rFonts w:ascii="宋体" w:hAnsi="宋体"/>
                <w:color w:val="auto"/>
                <w:sz w:val="24"/>
              </w:rPr>
            </w:pPr>
          </w:p>
        </w:tc>
        <w:tc>
          <w:tcPr>
            <w:tcW w:w="1222" w:type="pct"/>
            <w:vAlign w:val="center"/>
          </w:tcPr>
          <w:p>
            <w:pPr>
              <w:adjustRightInd w:val="0"/>
              <w:snapToGrid w:val="0"/>
              <w:ind w:left="-88" w:leftChars="-42"/>
              <w:jc w:val="center"/>
              <w:rPr>
                <w:rFonts w:ascii="宋体" w:hAnsi="宋体"/>
                <w:color w:val="auto"/>
                <w:sz w:val="24"/>
              </w:rPr>
            </w:pPr>
          </w:p>
        </w:tc>
        <w:tc>
          <w:tcPr>
            <w:tcW w:w="710" w:type="pct"/>
            <w:vAlign w:val="center"/>
          </w:tcPr>
          <w:p>
            <w:pPr>
              <w:adjustRightInd w:val="0"/>
              <w:snapToGrid w:val="0"/>
              <w:ind w:left="-88" w:leftChars="-42"/>
              <w:jc w:val="center"/>
              <w:rPr>
                <w:rFonts w:ascii="宋体" w:hAnsi="宋体"/>
                <w:color w:val="auto"/>
                <w:sz w:val="24"/>
              </w:rPr>
            </w:pPr>
          </w:p>
        </w:tc>
        <w:tc>
          <w:tcPr>
            <w:tcW w:w="496" w:type="pct"/>
            <w:vAlign w:val="center"/>
          </w:tcPr>
          <w:p>
            <w:pPr>
              <w:adjustRightInd w:val="0"/>
              <w:snapToGrid w:val="0"/>
              <w:ind w:left="-88" w:leftChars="-42"/>
              <w:jc w:val="center"/>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381" w:type="pct"/>
            <w:vAlign w:val="center"/>
          </w:tcPr>
          <w:p>
            <w:pPr>
              <w:adjustRightInd w:val="0"/>
              <w:snapToGrid w:val="0"/>
              <w:ind w:left="-88" w:leftChars="-42"/>
              <w:jc w:val="center"/>
              <w:rPr>
                <w:rFonts w:ascii="宋体" w:hAnsi="宋体"/>
                <w:color w:val="auto"/>
                <w:sz w:val="24"/>
              </w:rPr>
            </w:pPr>
          </w:p>
        </w:tc>
        <w:tc>
          <w:tcPr>
            <w:tcW w:w="893" w:type="pct"/>
            <w:vAlign w:val="center"/>
          </w:tcPr>
          <w:p>
            <w:pPr>
              <w:adjustRightInd w:val="0"/>
              <w:snapToGrid w:val="0"/>
              <w:ind w:left="-88" w:leftChars="-42"/>
              <w:jc w:val="center"/>
              <w:rPr>
                <w:rFonts w:ascii="宋体" w:hAnsi="宋体"/>
                <w:color w:val="auto"/>
                <w:sz w:val="24"/>
              </w:rPr>
            </w:pPr>
          </w:p>
        </w:tc>
        <w:tc>
          <w:tcPr>
            <w:tcW w:w="1295" w:type="pct"/>
            <w:vAlign w:val="center"/>
          </w:tcPr>
          <w:p>
            <w:pPr>
              <w:adjustRightInd w:val="0"/>
              <w:snapToGrid w:val="0"/>
              <w:ind w:left="-88" w:leftChars="-42"/>
              <w:jc w:val="center"/>
              <w:rPr>
                <w:rFonts w:ascii="宋体" w:hAnsi="宋体"/>
                <w:color w:val="auto"/>
                <w:sz w:val="24"/>
              </w:rPr>
            </w:pPr>
          </w:p>
        </w:tc>
        <w:tc>
          <w:tcPr>
            <w:tcW w:w="1222" w:type="pct"/>
            <w:vAlign w:val="center"/>
          </w:tcPr>
          <w:p>
            <w:pPr>
              <w:adjustRightInd w:val="0"/>
              <w:snapToGrid w:val="0"/>
              <w:ind w:left="-88" w:leftChars="-42"/>
              <w:jc w:val="center"/>
              <w:rPr>
                <w:rFonts w:ascii="宋体" w:hAnsi="宋体"/>
                <w:color w:val="auto"/>
                <w:sz w:val="24"/>
              </w:rPr>
            </w:pPr>
          </w:p>
        </w:tc>
        <w:tc>
          <w:tcPr>
            <w:tcW w:w="710" w:type="pct"/>
            <w:vAlign w:val="center"/>
          </w:tcPr>
          <w:p>
            <w:pPr>
              <w:adjustRightInd w:val="0"/>
              <w:snapToGrid w:val="0"/>
              <w:ind w:left="-88" w:leftChars="-42"/>
              <w:jc w:val="center"/>
              <w:rPr>
                <w:rFonts w:ascii="宋体" w:hAnsi="宋体"/>
                <w:color w:val="auto"/>
                <w:sz w:val="24"/>
              </w:rPr>
            </w:pPr>
          </w:p>
        </w:tc>
        <w:tc>
          <w:tcPr>
            <w:tcW w:w="496" w:type="pct"/>
            <w:vAlign w:val="center"/>
          </w:tcPr>
          <w:p>
            <w:pPr>
              <w:adjustRightInd w:val="0"/>
              <w:snapToGrid w:val="0"/>
              <w:ind w:left="-88" w:leftChars="-42"/>
              <w:jc w:val="center"/>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381" w:type="pct"/>
            <w:vAlign w:val="center"/>
          </w:tcPr>
          <w:p>
            <w:pPr>
              <w:adjustRightInd w:val="0"/>
              <w:snapToGrid w:val="0"/>
              <w:ind w:left="-88" w:leftChars="-42"/>
              <w:jc w:val="center"/>
              <w:rPr>
                <w:rFonts w:ascii="宋体" w:hAnsi="宋体"/>
                <w:color w:val="auto"/>
                <w:sz w:val="24"/>
              </w:rPr>
            </w:pPr>
          </w:p>
        </w:tc>
        <w:tc>
          <w:tcPr>
            <w:tcW w:w="893" w:type="pct"/>
            <w:vAlign w:val="center"/>
          </w:tcPr>
          <w:p>
            <w:pPr>
              <w:adjustRightInd w:val="0"/>
              <w:snapToGrid w:val="0"/>
              <w:ind w:left="-88" w:leftChars="-42"/>
              <w:jc w:val="center"/>
              <w:rPr>
                <w:rFonts w:ascii="宋体" w:hAnsi="宋体"/>
                <w:color w:val="auto"/>
                <w:sz w:val="24"/>
              </w:rPr>
            </w:pPr>
          </w:p>
        </w:tc>
        <w:tc>
          <w:tcPr>
            <w:tcW w:w="1295" w:type="pct"/>
            <w:vAlign w:val="center"/>
          </w:tcPr>
          <w:p>
            <w:pPr>
              <w:adjustRightInd w:val="0"/>
              <w:snapToGrid w:val="0"/>
              <w:ind w:left="-88" w:leftChars="-42"/>
              <w:jc w:val="center"/>
              <w:rPr>
                <w:rFonts w:ascii="宋体" w:hAnsi="宋体"/>
                <w:color w:val="auto"/>
                <w:sz w:val="24"/>
              </w:rPr>
            </w:pPr>
          </w:p>
        </w:tc>
        <w:tc>
          <w:tcPr>
            <w:tcW w:w="1222" w:type="pct"/>
            <w:vAlign w:val="center"/>
          </w:tcPr>
          <w:p>
            <w:pPr>
              <w:adjustRightInd w:val="0"/>
              <w:snapToGrid w:val="0"/>
              <w:ind w:left="-88" w:leftChars="-42"/>
              <w:jc w:val="center"/>
              <w:rPr>
                <w:rFonts w:ascii="宋体" w:hAnsi="宋体"/>
                <w:color w:val="auto"/>
                <w:sz w:val="24"/>
              </w:rPr>
            </w:pPr>
          </w:p>
        </w:tc>
        <w:tc>
          <w:tcPr>
            <w:tcW w:w="710" w:type="pct"/>
            <w:vAlign w:val="center"/>
          </w:tcPr>
          <w:p>
            <w:pPr>
              <w:adjustRightInd w:val="0"/>
              <w:snapToGrid w:val="0"/>
              <w:ind w:left="-88" w:leftChars="-42"/>
              <w:jc w:val="center"/>
              <w:rPr>
                <w:rFonts w:ascii="宋体" w:hAnsi="宋体"/>
                <w:color w:val="auto"/>
                <w:sz w:val="24"/>
              </w:rPr>
            </w:pPr>
          </w:p>
        </w:tc>
        <w:tc>
          <w:tcPr>
            <w:tcW w:w="496" w:type="pct"/>
            <w:vAlign w:val="center"/>
          </w:tcPr>
          <w:p>
            <w:pPr>
              <w:adjustRightInd w:val="0"/>
              <w:snapToGrid w:val="0"/>
              <w:ind w:left="-88" w:leftChars="-42"/>
              <w:jc w:val="center"/>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381" w:type="pct"/>
            <w:vAlign w:val="center"/>
          </w:tcPr>
          <w:p>
            <w:pPr>
              <w:adjustRightInd w:val="0"/>
              <w:snapToGrid w:val="0"/>
              <w:ind w:left="-88" w:leftChars="-42"/>
              <w:jc w:val="center"/>
              <w:rPr>
                <w:rFonts w:ascii="宋体" w:hAnsi="宋体"/>
                <w:color w:val="auto"/>
                <w:sz w:val="24"/>
              </w:rPr>
            </w:pPr>
          </w:p>
        </w:tc>
        <w:tc>
          <w:tcPr>
            <w:tcW w:w="893" w:type="pct"/>
            <w:vAlign w:val="center"/>
          </w:tcPr>
          <w:p>
            <w:pPr>
              <w:adjustRightInd w:val="0"/>
              <w:snapToGrid w:val="0"/>
              <w:ind w:left="-88" w:leftChars="-42"/>
              <w:jc w:val="center"/>
              <w:rPr>
                <w:rFonts w:ascii="宋体" w:hAnsi="宋体"/>
                <w:color w:val="auto"/>
                <w:sz w:val="24"/>
              </w:rPr>
            </w:pPr>
          </w:p>
        </w:tc>
        <w:tc>
          <w:tcPr>
            <w:tcW w:w="1295" w:type="pct"/>
            <w:vAlign w:val="center"/>
          </w:tcPr>
          <w:p>
            <w:pPr>
              <w:adjustRightInd w:val="0"/>
              <w:snapToGrid w:val="0"/>
              <w:ind w:left="-88" w:leftChars="-42"/>
              <w:jc w:val="center"/>
              <w:rPr>
                <w:rFonts w:ascii="宋体" w:hAnsi="宋体"/>
                <w:color w:val="auto"/>
                <w:sz w:val="24"/>
              </w:rPr>
            </w:pPr>
          </w:p>
        </w:tc>
        <w:tc>
          <w:tcPr>
            <w:tcW w:w="1222" w:type="pct"/>
            <w:vAlign w:val="center"/>
          </w:tcPr>
          <w:p>
            <w:pPr>
              <w:adjustRightInd w:val="0"/>
              <w:snapToGrid w:val="0"/>
              <w:ind w:left="-88" w:leftChars="-42"/>
              <w:jc w:val="center"/>
              <w:rPr>
                <w:rFonts w:ascii="宋体" w:hAnsi="宋体"/>
                <w:color w:val="auto"/>
                <w:sz w:val="24"/>
              </w:rPr>
            </w:pPr>
          </w:p>
        </w:tc>
        <w:tc>
          <w:tcPr>
            <w:tcW w:w="710" w:type="pct"/>
            <w:vAlign w:val="center"/>
          </w:tcPr>
          <w:p>
            <w:pPr>
              <w:adjustRightInd w:val="0"/>
              <w:snapToGrid w:val="0"/>
              <w:ind w:left="-88" w:leftChars="-42"/>
              <w:jc w:val="center"/>
              <w:rPr>
                <w:rFonts w:ascii="宋体" w:hAnsi="宋体"/>
                <w:color w:val="auto"/>
                <w:sz w:val="24"/>
              </w:rPr>
            </w:pPr>
          </w:p>
        </w:tc>
        <w:tc>
          <w:tcPr>
            <w:tcW w:w="496" w:type="pct"/>
            <w:vAlign w:val="center"/>
          </w:tcPr>
          <w:p>
            <w:pPr>
              <w:adjustRightInd w:val="0"/>
              <w:snapToGrid w:val="0"/>
              <w:ind w:left="-88" w:leftChars="-42"/>
              <w:jc w:val="center"/>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381" w:type="pct"/>
            <w:vAlign w:val="center"/>
          </w:tcPr>
          <w:p>
            <w:pPr>
              <w:adjustRightInd w:val="0"/>
              <w:snapToGrid w:val="0"/>
              <w:ind w:left="-88" w:leftChars="-42"/>
              <w:jc w:val="center"/>
              <w:rPr>
                <w:rFonts w:ascii="宋体" w:hAnsi="宋体"/>
                <w:color w:val="auto"/>
                <w:sz w:val="24"/>
              </w:rPr>
            </w:pPr>
          </w:p>
        </w:tc>
        <w:tc>
          <w:tcPr>
            <w:tcW w:w="893" w:type="pct"/>
            <w:vAlign w:val="center"/>
          </w:tcPr>
          <w:p>
            <w:pPr>
              <w:adjustRightInd w:val="0"/>
              <w:snapToGrid w:val="0"/>
              <w:ind w:left="-88" w:leftChars="-42"/>
              <w:jc w:val="center"/>
              <w:rPr>
                <w:rFonts w:ascii="宋体" w:hAnsi="宋体"/>
                <w:color w:val="auto"/>
                <w:sz w:val="24"/>
              </w:rPr>
            </w:pPr>
          </w:p>
        </w:tc>
        <w:tc>
          <w:tcPr>
            <w:tcW w:w="1295" w:type="pct"/>
            <w:vAlign w:val="center"/>
          </w:tcPr>
          <w:p>
            <w:pPr>
              <w:adjustRightInd w:val="0"/>
              <w:snapToGrid w:val="0"/>
              <w:ind w:left="-88" w:leftChars="-42"/>
              <w:jc w:val="center"/>
              <w:rPr>
                <w:rFonts w:ascii="宋体" w:hAnsi="宋体"/>
                <w:color w:val="auto"/>
                <w:sz w:val="24"/>
              </w:rPr>
            </w:pPr>
          </w:p>
        </w:tc>
        <w:tc>
          <w:tcPr>
            <w:tcW w:w="1222" w:type="pct"/>
            <w:vAlign w:val="center"/>
          </w:tcPr>
          <w:p>
            <w:pPr>
              <w:adjustRightInd w:val="0"/>
              <w:snapToGrid w:val="0"/>
              <w:ind w:left="-88" w:leftChars="-42"/>
              <w:jc w:val="center"/>
              <w:rPr>
                <w:rFonts w:ascii="宋体" w:hAnsi="宋体"/>
                <w:color w:val="auto"/>
                <w:sz w:val="24"/>
              </w:rPr>
            </w:pPr>
          </w:p>
        </w:tc>
        <w:tc>
          <w:tcPr>
            <w:tcW w:w="710" w:type="pct"/>
            <w:vAlign w:val="center"/>
          </w:tcPr>
          <w:p>
            <w:pPr>
              <w:adjustRightInd w:val="0"/>
              <w:snapToGrid w:val="0"/>
              <w:ind w:left="-88" w:leftChars="-42"/>
              <w:jc w:val="center"/>
              <w:rPr>
                <w:rFonts w:ascii="宋体" w:hAnsi="宋体"/>
                <w:color w:val="auto"/>
                <w:sz w:val="24"/>
              </w:rPr>
            </w:pPr>
          </w:p>
        </w:tc>
        <w:tc>
          <w:tcPr>
            <w:tcW w:w="496" w:type="pct"/>
            <w:vAlign w:val="center"/>
          </w:tcPr>
          <w:p>
            <w:pPr>
              <w:adjustRightInd w:val="0"/>
              <w:snapToGrid w:val="0"/>
              <w:ind w:left="-88" w:leftChars="-42"/>
              <w:jc w:val="center"/>
              <w:rPr>
                <w:rFonts w:ascii="宋体" w:hAnsi="宋体"/>
                <w:color w:val="auto"/>
                <w:sz w:val="24"/>
              </w:rPr>
            </w:pPr>
          </w:p>
        </w:tc>
      </w:tr>
    </w:tbl>
    <w:p>
      <w:pPr>
        <w:pStyle w:val="58"/>
        <w:ind w:right="561"/>
        <w:jc w:val="left"/>
        <w:outlineLvl w:val="1"/>
        <w:rPr>
          <w:color w:val="auto"/>
          <w:sz w:val="24"/>
          <w:szCs w:val="24"/>
        </w:rPr>
      </w:pPr>
    </w:p>
    <w:p>
      <w:pPr>
        <w:pStyle w:val="26"/>
        <w:tabs>
          <w:tab w:val="left" w:pos="0"/>
          <w:tab w:val="right" w:leader="dot" w:pos="8715"/>
        </w:tabs>
        <w:rPr>
          <w:color w:val="auto"/>
          <w:sz w:val="24"/>
          <w:szCs w:val="24"/>
        </w:rPr>
      </w:pPr>
      <w:r>
        <w:rPr>
          <w:rFonts w:hint="eastAsia"/>
          <w:color w:val="auto"/>
          <w:sz w:val="24"/>
          <w:szCs w:val="24"/>
        </w:rPr>
        <w:t>备注：“响应/偏离”栏应注明“响应”或“偏离”。</w:t>
      </w:r>
    </w:p>
    <w:p>
      <w:pPr>
        <w:adjustRightInd w:val="0"/>
        <w:snapToGrid w:val="0"/>
        <w:ind w:left="-88" w:leftChars="-42"/>
        <w:rPr>
          <w:rFonts w:ascii="仿宋_GB2312" w:hAnsi="宋体" w:eastAsia="仿宋_GB2312"/>
          <w:color w:val="auto"/>
          <w:sz w:val="24"/>
        </w:rPr>
      </w:pPr>
    </w:p>
    <w:p>
      <w:pPr>
        <w:adjustRightInd w:val="0"/>
        <w:snapToGrid w:val="0"/>
        <w:ind w:left="-88" w:leftChars="-42"/>
        <w:rPr>
          <w:rFonts w:ascii="宋体" w:hAnsi="宋体"/>
          <w:color w:val="auto"/>
          <w:sz w:val="24"/>
        </w:rPr>
      </w:pPr>
    </w:p>
    <w:p>
      <w:pPr>
        <w:adjustRightInd w:val="0"/>
        <w:snapToGrid w:val="0"/>
        <w:spacing w:before="50" w:line="360" w:lineRule="auto"/>
        <w:rPr>
          <w:rFonts w:ascii="宋体" w:hAnsi="宋体"/>
          <w:color w:val="auto"/>
          <w:sz w:val="24"/>
        </w:rPr>
      </w:pPr>
      <w:r>
        <w:rPr>
          <w:rFonts w:hint="eastAsia" w:ascii="宋体" w:hAnsi="宋体"/>
          <w:color w:val="auto"/>
          <w:sz w:val="24"/>
        </w:rPr>
        <w:t>申请人名称（单位章）：</w:t>
      </w:r>
    </w:p>
    <w:p>
      <w:pPr>
        <w:adjustRightInd w:val="0"/>
        <w:snapToGrid w:val="0"/>
        <w:spacing w:before="50" w:line="360" w:lineRule="auto"/>
        <w:rPr>
          <w:rFonts w:ascii="宋体" w:hAnsi="宋体"/>
          <w:color w:val="auto"/>
          <w:sz w:val="24"/>
        </w:rPr>
      </w:pPr>
      <w:r>
        <w:rPr>
          <w:rFonts w:hint="eastAsia" w:ascii="宋体" w:hAnsi="宋体"/>
          <w:color w:val="auto"/>
          <w:sz w:val="24"/>
        </w:rPr>
        <w:t>承保机构负责人或其委托代理人(签字)：</w:t>
      </w:r>
      <w:r>
        <w:rPr>
          <w:rFonts w:hint="eastAsia" w:ascii="宋体" w:hAnsi="宋体"/>
          <w:color w:val="auto"/>
          <w:sz w:val="24"/>
          <w:u w:val="single"/>
        </w:rPr>
        <w:t xml:space="preserve">                   </w:t>
      </w:r>
    </w:p>
    <w:p>
      <w:pPr>
        <w:pStyle w:val="58"/>
        <w:jc w:val="center"/>
        <w:outlineLvl w:val="1"/>
        <w:rPr>
          <w:rFonts w:ascii="宋体" w:hAnsi="宋体" w:cs="Arial"/>
          <w:b/>
          <w:bCs/>
          <w:color w:val="auto"/>
          <w:sz w:val="36"/>
          <w:szCs w:val="36"/>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 xml:space="preserve">日  </w:t>
      </w:r>
      <w:r>
        <w:rPr>
          <w:color w:val="auto"/>
          <w:sz w:val="24"/>
          <w:szCs w:val="24"/>
        </w:rPr>
        <w:br w:type="page"/>
      </w:r>
      <w:r>
        <w:rPr>
          <w:rFonts w:ascii="宋体" w:hAnsi="宋体" w:cs="Arial"/>
          <w:b/>
          <w:bCs/>
          <w:color w:val="auto"/>
          <w:sz w:val="36"/>
          <w:szCs w:val="36"/>
        </w:rPr>
        <w:t>四</w:t>
      </w:r>
      <w:r>
        <w:rPr>
          <w:rFonts w:hint="eastAsia" w:ascii="宋体" w:hAnsi="宋体" w:cs="Arial"/>
          <w:b/>
          <w:bCs/>
          <w:color w:val="auto"/>
          <w:sz w:val="36"/>
          <w:szCs w:val="36"/>
        </w:rPr>
        <w:t>、承保机构方案</w:t>
      </w:r>
    </w:p>
    <w:p>
      <w:pPr>
        <w:pStyle w:val="58"/>
        <w:jc w:val="center"/>
        <w:outlineLvl w:val="1"/>
        <w:rPr>
          <w:rFonts w:hint="eastAsia"/>
          <w:b/>
          <w:color w:val="auto"/>
          <w:sz w:val="24"/>
          <w:szCs w:val="24"/>
        </w:rPr>
      </w:pPr>
    </w:p>
    <w:p>
      <w:pPr>
        <w:pStyle w:val="58"/>
        <w:jc w:val="center"/>
        <w:outlineLvl w:val="1"/>
        <w:rPr>
          <w:color w:val="auto"/>
          <w:sz w:val="24"/>
          <w:szCs w:val="24"/>
        </w:rPr>
      </w:pPr>
      <w:r>
        <w:rPr>
          <w:rFonts w:hint="eastAsia" w:ascii="宋体" w:hAnsi="宋体"/>
          <w:b/>
          <w:color w:val="auto"/>
          <w:sz w:val="24"/>
        </w:rPr>
        <w:t>（</w:t>
      </w:r>
      <w:r>
        <w:rPr>
          <w:rFonts w:hint="eastAsia"/>
          <w:b/>
          <w:color w:val="auto"/>
          <w:sz w:val="24"/>
          <w:szCs w:val="24"/>
        </w:rPr>
        <w:t>申请人应根据遴选文件的要求自行编制）</w:t>
      </w:r>
    </w:p>
    <w:p>
      <w:pPr>
        <w:pStyle w:val="58"/>
        <w:jc w:val="center"/>
        <w:outlineLvl w:val="1"/>
        <w:rPr>
          <w:color w:val="auto"/>
          <w:sz w:val="24"/>
          <w:szCs w:val="24"/>
        </w:rPr>
      </w:pPr>
      <w:r>
        <w:rPr>
          <w:color w:val="auto"/>
          <w:sz w:val="24"/>
          <w:szCs w:val="24"/>
        </w:rPr>
        <w:br w:type="page"/>
      </w:r>
    </w:p>
    <w:p>
      <w:pPr>
        <w:pStyle w:val="58"/>
        <w:jc w:val="center"/>
        <w:outlineLvl w:val="1"/>
        <w:rPr>
          <w:rFonts w:hint="eastAsia" w:ascii="宋体" w:hAnsi="宋体" w:cs="Arial"/>
          <w:b/>
          <w:bCs/>
          <w:color w:val="auto"/>
          <w:sz w:val="36"/>
          <w:szCs w:val="36"/>
        </w:rPr>
      </w:pPr>
    </w:p>
    <w:p>
      <w:pPr>
        <w:pStyle w:val="58"/>
        <w:jc w:val="center"/>
        <w:outlineLvl w:val="1"/>
        <w:rPr>
          <w:rFonts w:ascii="宋体" w:hAnsi="宋体" w:cs="Arial"/>
          <w:color w:val="auto"/>
          <w:sz w:val="36"/>
          <w:szCs w:val="36"/>
        </w:rPr>
      </w:pPr>
      <w:r>
        <w:rPr>
          <w:rFonts w:hint="eastAsia" w:ascii="宋体" w:hAnsi="宋体" w:cs="Arial"/>
          <w:b/>
          <w:bCs/>
          <w:color w:val="auto"/>
          <w:sz w:val="36"/>
          <w:szCs w:val="36"/>
        </w:rPr>
        <w:t>五、承保机构综合情况</w:t>
      </w:r>
    </w:p>
    <w:p>
      <w:pPr>
        <w:spacing w:line="460" w:lineRule="exact"/>
        <w:jc w:val="center"/>
        <w:rPr>
          <w:rFonts w:hint="eastAsia" w:ascii="宋体" w:hAnsi="宋体"/>
          <w:b/>
          <w:color w:val="auto"/>
          <w:sz w:val="24"/>
        </w:rPr>
      </w:pPr>
    </w:p>
    <w:p>
      <w:pPr>
        <w:spacing w:line="460" w:lineRule="exact"/>
        <w:jc w:val="center"/>
        <w:rPr>
          <w:rFonts w:ascii="宋体" w:hAnsi="宋体"/>
          <w:b/>
          <w:bCs/>
          <w:color w:val="auto"/>
          <w:sz w:val="24"/>
        </w:rPr>
      </w:pPr>
      <w:r>
        <w:rPr>
          <w:rFonts w:hint="eastAsia" w:ascii="宋体" w:hAnsi="宋体"/>
          <w:b/>
          <w:color w:val="auto"/>
          <w:sz w:val="24"/>
        </w:rPr>
        <w:t>（申请人应根据遴选文件的要求自行编制）</w:t>
      </w:r>
    </w:p>
    <w:p>
      <w:pPr>
        <w:pStyle w:val="58"/>
        <w:jc w:val="center"/>
        <w:outlineLvl w:val="1"/>
        <w:rPr>
          <w:color w:val="auto"/>
          <w:sz w:val="24"/>
          <w:szCs w:val="24"/>
        </w:rPr>
      </w:pPr>
    </w:p>
    <w:p>
      <w:pPr>
        <w:jc w:val="center"/>
        <w:rPr>
          <w:b/>
          <w:color w:val="auto"/>
          <w:sz w:val="24"/>
        </w:rPr>
      </w:pPr>
      <w:r>
        <w:rPr>
          <w:color w:val="auto"/>
          <w:sz w:val="24"/>
          <w:szCs w:val="24"/>
        </w:rPr>
        <w:br w:type="page"/>
      </w:r>
      <w:r>
        <w:rPr>
          <w:rFonts w:hint="eastAsia" w:ascii="宋体" w:hAnsi="宋体" w:eastAsia="宋体" w:cs="Arial"/>
          <w:b/>
          <w:bCs/>
          <w:color w:val="auto"/>
          <w:kern w:val="2"/>
          <w:sz w:val="36"/>
          <w:szCs w:val="36"/>
          <w:lang w:val="en-US" w:eastAsia="zh-CN" w:bidi="ar-SA"/>
        </w:rPr>
        <w:t>六、承 诺 书</w:t>
      </w:r>
    </w:p>
    <w:p>
      <w:pPr>
        <w:rPr>
          <w:color w:val="auto"/>
          <w:sz w:val="24"/>
        </w:rPr>
      </w:pPr>
    </w:p>
    <w:p>
      <w:pPr>
        <w:ind w:firstLine="120" w:firstLineChars="50"/>
        <w:rPr>
          <w:rFonts w:hint="eastAsia"/>
          <w:color w:val="auto"/>
          <w:sz w:val="24"/>
          <w:u w:val="single"/>
        </w:rPr>
      </w:pPr>
    </w:p>
    <w:p>
      <w:pPr>
        <w:ind w:firstLine="120" w:firstLineChars="50"/>
        <w:rPr>
          <w:color w:val="auto"/>
          <w:sz w:val="24"/>
          <w:u w:val="single"/>
        </w:rPr>
      </w:pPr>
      <w:r>
        <w:rPr>
          <w:rFonts w:hint="eastAsia"/>
          <w:color w:val="auto"/>
          <w:sz w:val="24"/>
          <w:u w:val="single"/>
        </w:rPr>
        <w:t xml:space="preserve">                     </w:t>
      </w:r>
      <w:r>
        <w:rPr>
          <w:rFonts w:hint="eastAsia"/>
          <w:color w:val="auto"/>
          <w:sz w:val="24"/>
        </w:rPr>
        <w:t>（遴选人名称）：</w:t>
      </w:r>
    </w:p>
    <w:p>
      <w:pPr>
        <w:spacing w:line="360" w:lineRule="auto"/>
        <w:rPr>
          <w:color w:val="auto"/>
          <w:sz w:val="24"/>
        </w:rPr>
      </w:pPr>
    </w:p>
    <w:p>
      <w:pPr>
        <w:spacing w:line="360" w:lineRule="auto"/>
        <w:rPr>
          <w:color w:val="auto"/>
          <w:sz w:val="24"/>
        </w:rPr>
      </w:pPr>
      <w:r>
        <w:rPr>
          <w:rFonts w:hint="eastAsia"/>
          <w:color w:val="auto"/>
          <w:sz w:val="24"/>
        </w:rPr>
        <w:t xml:space="preserve">   </w:t>
      </w:r>
      <w:r>
        <w:rPr>
          <w:rFonts w:hint="eastAsia"/>
          <w:color w:val="auto"/>
          <w:sz w:val="24"/>
          <w:lang w:val="en-US" w:eastAsia="zh-CN"/>
        </w:rPr>
        <w:t xml:space="preserve"> </w:t>
      </w:r>
      <w:r>
        <w:rPr>
          <w:rFonts w:hint="eastAsia"/>
          <w:color w:val="auto"/>
          <w:sz w:val="24"/>
        </w:rPr>
        <w:t>本单位已详细阅读贵单位</w:t>
      </w:r>
      <w:r>
        <w:rPr>
          <w:rFonts w:hint="eastAsia"/>
          <w:color w:val="auto"/>
          <w:sz w:val="24"/>
          <w:u w:val="single"/>
        </w:rPr>
        <w:t xml:space="preserve"> 　                     </w:t>
      </w:r>
      <w:r>
        <w:rPr>
          <w:rFonts w:hint="eastAsia"/>
          <w:color w:val="auto"/>
          <w:sz w:val="24"/>
        </w:rPr>
        <w:t>项目遴选文件，现就参加本项目遴选有关事项郑重承诺如下：</w:t>
      </w:r>
    </w:p>
    <w:p>
      <w:pPr>
        <w:spacing w:line="360" w:lineRule="auto"/>
        <w:rPr>
          <w:color w:val="auto"/>
          <w:sz w:val="24"/>
        </w:rPr>
      </w:pPr>
    </w:p>
    <w:p>
      <w:pPr>
        <w:spacing w:line="360" w:lineRule="auto"/>
        <w:rPr>
          <w:color w:val="auto"/>
          <w:sz w:val="24"/>
        </w:rPr>
      </w:pPr>
      <w:r>
        <w:rPr>
          <w:rFonts w:hint="eastAsia"/>
          <w:color w:val="auto"/>
          <w:sz w:val="24"/>
        </w:rPr>
        <w:t>一、参与本项目遴选活动系本公司自愿行为。</w:t>
      </w:r>
    </w:p>
    <w:p>
      <w:pPr>
        <w:spacing w:line="360" w:lineRule="auto"/>
        <w:rPr>
          <w:color w:val="auto"/>
          <w:sz w:val="24"/>
        </w:rPr>
      </w:pPr>
      <w:r>
        <w:rPr>
          <w:rFonts w:hint="eastAsia"/>
          <w:color w:val="auto"/>
          <w:sz w:val="24"/>
        </w:rPr>
        <w:t>二、遵守国家、自治区、市有关遴选的法律、规章及规范性文件。</w:t>
      </w:r>
    </w:p>
    <w:p>
      <w:pPr>
        <w:spacing w:line="360" w:lineRule="auto"/>
        <w:rPr>
          <w:color w:val="auto"/>
          <w:sz w:val="24"/>
        </w:rPr>
      </w:pPr>
      <w:r>
        <w:rPr>
          <w:rFonts w:hint="eastAsia"/>
          <w:color w:val="auto"/>
          <w:sz w:val="24"/>
        </w:rPr>
        <w:t>三、响应文件内容及资料无弄虚作假。</w:t>
      </w:r>
    </w:p>
    <w:p>
      <w:pPr>
        <w:spacing w:line="360" w:lineRule="auto"/>
        <w:rPr>
          <w:color w:val="auto"/>
          <w:sz w:val="24"/>
        </w:rPr>
      </w:pPr>
      <w:r>
        <w:rPr>
          <w:rFonts w:hint="eastAsia"/>
          <w:color w:val="auto"/>
          <w:sz w:val="24"/>
        </w:rPr>
        <w:t>四、保证没有组织、参与围选、串选行为。</w:t>
      </w:r>
    </w:p>
    <w:p>
      <w:pPr>
        <w:spacing w:line="360" w:lineRule="auto"/>
        <w:rPr>
          <w:color w:val="auto"/>
          <w:sz w:val="24"/>
        </w:rPr>
      </w:pPr>
      <w:r>
        <w:rPr>
          <w:rFonts w:hint="eastAsia"/>
          <w:color w:val="auto"/>
          <w:sz w:val="24"/>
        </w:rPr>
        <w:t>五、不与遴选人或者评审委员会成员私下联络和串通以牟取中选；不以他人名义参加或者以其他方式弄虚作假骗取中选；不在中选后进行虚假、恶意质疑和投诉。</w:t>
      </w:r>
    </w:p>
    <w:p>
      <w:pPr>
        <w:spacing w:line="360" w:lineRule="auto"/>
        <w:rPr>
          <w:color w:val="auto"/>
          <w:sz w:val="24"/>
        </w:rPr>
      </w:pPr>
      <w:r>
        <w:rPr>
          <w:rFonts w:hint="eastAsia"/>
          <w:color w:val="auto"/>
          <w:sz w:val="24"/>
        </w:rPr>
        <w:t>六、若中选，将按照遴选文件规定及时与遴选人签订合同，严格履行合同条款内容。</w:t>
      </w:r>
      <w:r>
        <w:rPr>
          <w:color w:val="auto"/>
          <w:sz w:val="24"/>
        </w:rPr>
        <w:t xml:space="preserve"> </w:t>
      </w:r>
    </w:p>
    <w:p>
      <w:pPr>
        <w:spacing w:line="360" w:lineRule="auto"/>
        <w:rPr>
          <w:color w:val="auto"/>
          <w:sz w:val="24"/>
        </w:rPr>
      </w:pPr>
      <w:r>
        <w:rPr>
          <w:rFonts w:hint="eastAsia"/>
          <w:color w:val="auto"/>
          <w:sz w:val="24"/>
        </w:rPr>
        <w:t>七、如有违反本承诺书内容的行为，愿意承担由此产生的法律责任及后果。</w:t>
      </w:r>
    </w:p>
    <w:p>
      <w:pPr>
        <w:spacing w:line="360" w:lineRule="auto"/>
        <w:rPr>
          <w:color w:val="auto"/>
          <w:sz w:val="24"/>
        </w:rPr>
      </w:pPr>
    </w:p>
    <w:p>
      <w:pPr>
        <w:spacing w:line="360" w:lineRule="auto"/>
        <w:rPr>
          <w:color w:val="auto"/>
          <w:sz w:val="24"/>
        </w:rPr>
      </w:pPr>
      <w:r>
        <w:rPr>
          <w:color w:val="auto"/>
          <w:sz w:val="24"/>
        </w:rPr>
        <w:t xml:space="preserve"> </w:t>
      </w:r>
    </w:p>
    <w:p>
      <w:pPr>
        <w:spacing w:line="360" w:lineRule="auto"/>
        <w:rPr>
          <w:color w:val="auto"/>
          <w:sz w:val="24"/>
        </w:rPr>
      </w:pPr>
    </w:p>
    <w:p>
      <w:pPr>
        <w:spacing w:line="360" w:lineRule="auto"/>
        <w:rPr>
          <w:color w:val="auto"/>
          <w:sz w:val="24"/>
        </w:rPr>
      </w:pPr>
      <w:r>
        <w:rPr>
          <w:rFonts w:hint="eastAsia"/>
          <w:color w:val="auto"/>
          <w:sz w:val="24"/>
        </w:rPr>
        <w:t>申请单位：（公章</w:t>
      </w:r>
      <w:r>
        <w:rPr>
          <w:rFonts w:hint="eastAsia"/>
          <w:color w:val="auto"/>
          <w:sz w:val="24"/>
          <w:u w:val="single"/>
        </w:rPr>
        <w:t xml:space="preserve">）     </w:t>
      </w:r>
      <w:r>
        <w:rPr>
          <w:rFonts w:hint="eastAsia"/>
          <w:color w:val="auto"/>
          <w:sz w:val="24"/>
        </w:rPr>
        <w:t>承保机构负责人或其授权代表：</w:t>
      </w:r>
      <w:r>
        <w:rPr>
          <w:rFonts w:hint="eastAsia"/>
          <w:color w:val="auto"/>
          <w:sz w:val="24"/>
          <w:u w:val="single"/>
        </w:rPr>
        <w:t xml:space="preserve">    </w:t>
      </w:r>
      <w:r>
        <w:rPr>
          <w:rFonts w:hint="eastAsia"/>
          <w:color w:val="auto"/>
          <w:sz w:val="24"/>
        </w:rPr>
        <w:t>（签字）</w:t>
      </w:r>
    </w:p>
    <w:p>
      <w:pPr>
        <w:spacing w:line="360" w:lineRule="auto"/>
        <w:rPr>
          <w:color w:val="auto"/>
          <w:sz w:val="24"/>
        </w:rPr>
      </w:pPr>
    </w:p>
    <w:p>
      <w:pPr>
        <w:spacing w:line="360" w:lineRule="auto"/>
        <w:rPr>
          <w:color w:val="auto"/>
          <w:sz w:val="24"/>
        </w:rPr>
      </w:pPr>
      <w:r>
        <w:rPr>
          <w:rFonts w:hint="eastAsia"/>
          <w:color w:val="auto"/>
          <w:sz w:val="24"/>
        </w:rPr>
        <w:t>联系地址：　　　　　　　　　　　 邮编：</w:t>
      </w:r>
    </w:p>
    <w:p>
      <w:pPr>
        <w:spacing w:line="360" w:lineRule="auto"/>
        <w:rPr>
          <w:color w:val="auto"/>
          <w:sz w:val="24"/>
        </w:rPr>
      </w:pPr>
    </w:p>
    <w:p>
      <w:pPr>
        <w:spacing w:line="360" w:lineRule="auto"/>
        <w:rPr>
          <w:rFonts w:hint="eastAsia"/>
          <w:color w:val="auto"/>
          <w:sz w:val="24"/>
        </w:rPr>
      </w:pPr>
      <w:r>
        <w:rPr>
          <w:rFonts w:hint="eastAsia"/>
          <w:color w:val="auto"/>
          <w:sz w:val="24"/>
        </w:rPr>
        <w:t>联系人：　　　　　　　　　　　　 电话：</w:t>
      </w:r>
    </w:p>
    <w:p>
      <w:pPr>
        <w:spacing w:line="360" w:lineRule="auto"/>
        <w:rPr>
          <w:rFonts w:hint="eastAsia"/>
          <w:color w:val="auto"/>
          <w:sz w:val="24"/>
        </w:rPr>
      </w:pPr>
    </w:p>
    <w:p>
      <w:pPr>
        <w:spacing w:line="360" w:lineRule="auto"/>
        <w:rPr>
          <w:rFonts w:hint="eastAsia"/>
          <w:color w:val="auto"/>
          <w:sz w:val="24"/>
        </w:rPr>
      </w:pPr>
    </w:p>
    <w:p>
      <w:pPr>
        <w:spacing w:line="360" w:lineRule="auto"/>
        <w:rPr>
          <w:color w:val="auto"/>
          <w:sz w:val="24"/>
        </w:rPr>
      </w:pPr>
    </w:p>
    <w:p>
      <w:pPr>
        <w:pStyle w:val="58"/>
        <w:outlineLvl w:val="1"/>
        <w:rPr>
          <w:color w:val="auto"/>
          <w:sz w:val="24"/>
          <w:szCs w:val="24"/>
        </w:rPr>
      </w:pPr>
      <w:r>
        <w:rPr>
          <w:rFonts w:hint="eastAsia"/>
          <w:color w:val="auto"/>
          <w:sz w:val="24"/>
        </w:rPr>
        <w:t>　　                                           年　  月　  日</w:t>
      </w:r>
    </w:p>
    <w:p>
      <w:pPr>
        <w:pStyle w:val="58"/>
        <w:jc w:val="center"/>
        <w:outlineLvl w:val="1"/>
        <w:rPr>
          <w:color w:val="auto"/>
          <w:sz w:val="24"/>
          <w:szCs w:val="24"/>
        </w:rPr>
      </w:pPr>
      <w:r>
        <w:rPr>
          <w:color w:val="auto"/>
          <w:sz w:val="24"/>
          <w:szCs w:val="24"/>
        </w:rPr>
        <w:br w:type="page"/>
      </w:r>
    </w:p>
    <w:p>
      <w:pPr>
        <w:pStyle w:val="58"/>
        <w:jc w:val="center"/>
        <w:outlineLvl w:val="1"/>
        <w:rPr>
          <w:color w:val="auto"/>
          <w:sz w:val="24"/>
          <w:szCs w:val="24"/>
        </w:rPr>
      </w:pPr>
    </w:p>
    <w:p>
      <w:pPr>
        <w:pStyle w:val="58"/>
        <w:jc w:val="center"/>
        <w:outlineLvl w:val="1"/>
        <w:rPr>
          <w:rFonts w:ascii="仿宋_GB2312" w:hAnsi="宋体" w:cs="Arial"/>
          <w:bCs/>
          <w:color w:val="auto"/>
          <w:szCs w:val="21"/>
        </w:rPr>
      </w:pPr>
      <w:r>
        <w:rPr>
          <w:rFonts w:ascii="宋体" w:hAnsi="宋体" w:cs="Arial"/>
          <w:b/>
          <w:bCs/>
          <w:color w:val="auto"/>
          <w:sz w:val="36"/>
          <w:szCs w:val="36"/>
        </w:rPr>
        <w:t>七</w:t>
      </w:r>
      <w:r>
        <w:rPr>
          <w:rFonts w:hint="eastAsia" w:ascii="宋体" w:hAnsi="宋体" w:cs="Arial"/>
          <w:b/>
          <w:bCs/>
          <w:color w:val="auto"/>
          <w:sz w:val="36"/>
          <w:szCs w:val="36"/>
        </w:rPr>
        <w:t>、</w:t>
      </w:r>
      <w:bookmarkEnd w:id="57"/>
      <w:r>
        <w:rPr>
          <w:rFonts w:hint="eastAsia" w:ascii="宋体" w:hAnsi="宋体" w:cs="Arial"/>
          <w:b/>
          <w:bCs/>
          <w:color w:val="auto"/>
          <w:sz w:val="36"/>
          <w:szCs w:val="36"/>
        </w:rPr>
        <w:t>其他资料</w:t>
      </w:r>
    </w:p>
    <w:sectPr>
      <w:footerReference r:id="rId9" w:type="first"/>
      <w:headerReference r:id="rId7" w:type="default"/>
      <w:footerReference r:id="rId8" w:type="default"/>
      <w:pgSz w:w="11906" w:h="16838"/>
      <w:pgMar w:top="1440" w:right="1800" w:bottom="1440" w:left="1800" w:header="1361" w:footer="964" w:gutter="0"/>
      <w:pgNumType w:fmt="decimal" w:start="8"/>
      <w:cols w:space="720" w:num="1"/>
      <w:titlePg/>
      <w:docGrid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7B728EA-88FF-4C65-B60A-781542AA89CB}"/>
  </w:font>
  <w:font w:name="Arial">
    <w:panose1 w:val="020B0604020202020204"/>
    <w:charset w:val="01"/>
    <w:family w:val="swiss"/>
    <w:pitch w:val="default"/>
    <w:sig w:usb0="E0002EFF" w:usb1="C000785B" w:usb2="00000009" w:usb3="00000000" w:csb0="400001FF" w:csb1="FFFF0000"/>
    <w:embedRegular r:id="rId2" w:fontKey="{32AF5BD1-735C-4083-9A50-3A43F179B828}"/>
  </w:font>
  <w:font w:name="黑体">
    <w:panose1 w:val="02010609060101010101"/>
    <w:charset w:val="86"/>
    <w:family w:val="auto"/>
    <w:pitch w:val="default"/>
    <w:sig w:usb0="800002BF" w:usb1="38CF7CFA" w:usb2="00000016" w:usb3="00000000" w:csb0="00040001" w:csb1="00000000"/>
    <w:embedRegular r:id="rId3" w:fontKey="{CF8B0D81-93A8-425E-BB9F-FAB86601D3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4" w:fontKey="{C799671E-F01E-40EB-9DCF-3C203D221636}"/>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embedRegular r:id="rId5" w:fontKey="{BF03A0DE-3A94-4021-BCA3-EDA0B0015977}"/>
  </w:font>
  <w:font w:name="楷体_GB2312">
    <w:panose1 w:val="02010609030101010101"/>
    <w:charset w:val="86"/>
    <w:family w:val="modern"/>
    <w:pitch w:val="default"/>
    <w:sig w:usb0="00000001" w:usb1="080E0000" w:usb2="00000000" w:usb3="00000000" w:csb0="00040000" w:csb1="00000000"/>
    <w:embedRegular r:id="rId6" w:fontKey="{A32003D3-ACF4-475A-B534-33BBC1A6BE45}"/>
  </w:font>
  <w:font w:name="方正书宋_GBK">
    <w:altName w:val="微软雅黑"/>
    <w:panose1 w:val="00000000000000000000"/>
    <w:charset w:val="86"/>
    <w:family w:val="auto"/>
    <w:pitch w:val="default"/>
    <w:sig w:usb0="00000000" w:usb1="00000000" w:usb2="00000000" w:usb3="00000000" w:csb0="00040000" w:csb1="00000000"/>
    <w:embedRegular r:id="rId7" w:fontKey="{68E71797-0CBA-4AD7-A819-45F5F4ED233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677"/>
        <w:tab w:val="clear" w:pos="4153"/>
      </w:tabs>
      <w:rPr>
        <w:rFonts w:hint="eastAsia" w:ascii="仿宋_GB2312" w:eastAsia="仿宋_GB2312"/>
        <w:sz w:val="21"/>
        <w:szCs w:val="21"/>
        <w:lang w:eastAsia="zh-CN"/>
      </w:rPr>
    </w:pPr>
    <w:r>
      <w:rPr>
        <w:sz w:val="21"/>
      </w:rPr>
      <w:pict>
        <v:shape id="_x0000_s2058" o:spid="_x0000_s205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4"/>
                </w:pPr>
              </w:p>
            </w:txbxContent>
          </v:textbox>
        </v:shape>
      </w:pict>
    </w:r>
    <w:r>
      <w:rPr>
        <w:rFonts w:hint="eastAsia" w:ascii="仿宋_GB2312" w:eastAsia="仿宋_GB2312"/>
        <w:sz w:val="21"/>
        <w:szCs w:val="21"/>
      </w:rPr>
      <w:t xml:space="preserve"> </w:t>
    </w:r>
    <w:r>
      <w:rPr>
        <w:rFonts w:hint="eastAsia" w:ascii="仿宋_GB2312" w:eastAsia="仿宋_GB2312"/>
        <w:sz w:val="21"/>
        <w:szCs w:val="21"/>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677"/>
        <w:tab w:val="clear" w:pos="4153"/>
      </w:tabs>
      <w:rPr>
        <w:rFonts w:hint="eastAsia" w:ascii="仿宋_GB2312" w:eastAsia="仿宋_GB2312"/>
        <w:sz w:val="21"/>
        <w:szCs w:val="21"/>
        <w:lang w:eastAsia="zh-CN"/>
      </w:rPr>
    </w:pPr>
    <w:r>
      <w:rPr>
        <w:sz w:val="21"/>
      </w:rPr>
      <w:pict>
        <v:shape id="_x0000_s2066" o:spid="_x0000_s206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w:r>
    <w:r>
      <w:rPr>
        <w:sz w:val="21"/>
      </w:rPr>
      <w:pict>
        <v:shape id="_x0000_s2067" o:spid="_x0000_s206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4"/>
                </w:pPr>
              </w:p>
            </w:txbxContent>
          </v:textbox>
        </v:shape>
      </w:pict>
    </w:r>
    <w:r>
      <w:rPr>
        <w:rFonts w:hint="eastAsia" w:ascii="仿宋_GB2312" w:eastAsia="仿宋_GB2312"/>
        <w:sz w:val="21"/>
        <w:szCs w:val="21"/>
      </w:rPr>
      <w:t xml:space="preserve"> </w:t>
    </w:r>
    <w:r>
      <w:rPr>
        <w:rFonts w:hint="eastAsia" w:ascii="仿宋_GB2312" w:eastAsia="仿宋_GB2312"/>
        <w:sz w:val="21"/>
        <w:szCs w:val="21"/>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rPr>
        <w:rStyle w:val="45"/>
        <w:bCs/>
        <w:sz w:val="21"/>
        <w:szCs w:val="21"/>
      </w:rPr>
    </w:pPr>
    <w:r>
      <w:rPr>
        <w:sz w:val="24"/>
      </w:rPr>
      <w:pict>
        <v:shape id="_x0000_s2065" o:spid="_x0000_s206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9</w:t>
                </w:r>
                <w:r>
                  <w:fldChar w:fldCharType="end"/>
                </w:r>
              </w:p>
            </w:txbxContent>
          </v:textbox>
        </v:shape>
      </w:pict>
    </w:r>
    <w:r>
      <w:rPr>
        <w:sz w:val="24"/>
      </w:rPr>
      <w:pict>
        <v:shape id="_x0000_s2056" o:spid="_x0000_s205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w:pict>
        <v:shape id="_x0000_s2068" o:spid="_x0000_s206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B1CBA"/>
    <w:multiLevelType w:val="singleLevel"/>
    <w:tmpl w:val="40AB1CBA"/>
    <w:lvl w:ilvl="0" w:tentative="0">
      <w:start w:val="2"/>
      <w:numFmt w:val="upperLetter"/>
      <w:pStyle w:val="2"/>
      <w:lvlText w:val="%1."/>
      <w:lvlJc w:val="left"/>
      <w:pPr>
        <w:tabs>
          <w:tab w:val="left" w:pos="1830"/>
        </w:tabs>
        <w:ind w:left="1830" w:hanging="360"/>
      </w:pPr>
      <w:rPr>
        <w:rFonts w:hint="eastAsia"/>
      </w:rPr>
    </w:lvl>
  </w:abstractNum>
  <w:abstractNum w:abstractNumId="1">
    <w:nsid w:val="50435C95"/>
    <w:multiLevelType w:val="singleLevel"/>
    <w:tmpl w:val="50435C95"/>
    <w:lvl w:ilvl="0" w:tentative="0">
      <w:start w:val="1"/>
      <w:numFmt w:val="decimal"/>
      <w:pStyle w:val="62"/>
      <w:lvlText w:val="图%1. "/>
      <w:lvlJc w:val="left"/>
      <w:pPr>
        <w:tabs>
          <w:tab w:val="left" w:pos="777"/>
        </w:tabs>
        <w:ind w:left="777" w:hanging="420"/>
      </w:pPr>
      <w:rPr>
        <w:lang w:val="en-US"/>
      </w:rPr>
    </w:lvl>
  </w:abstractNum>
  <w:abstractNum w:abstractNumId="2">
    <w:nsid w:val="6B393369"/>
    <w:multiLevelType w:val="multilevel"/>
    <w:tmpl w:val="6B393369"/>
    <w:lvl w:ilvl="0" w:tentative="0">
      <w:start w:val="1"/>
      <w:numFmt w:val="bullet"/>
      <w:pStyle w:val="60"/>
      <w:lvlText w:val=""/>
      <w:lvlJc w:val="left"/>
      <w:pPr>
        <w:tabs>
          <w:tab w:val="left" w:pos="780"/>
        </w:tabs>
        <w:ind w:left="780" w:hanging="420"/>
      </w:pPr>
      <w:rPr>
        <w:rFonts w:hint="default" w:ascii="Wingdings" w:hAnsi="Wingdings"/>
        <w:sz w:val="13"/>
        <w:szCs w:val="13"/>
      </w:rPr>
    </w:lvl>
    <w:lvl w:ilvl="1" w:tentative="0">
      <w:start w:val="0"/>
      <w:numFmt w:val="bullet"/>
      <w:lvlText w:val="-"/>
      <w:lvlJc w:val="left"/>
      <w:pPr>
        <w:tabs>
          <w:tab w:val="left" w:pos="780"/>
        </w:tabs>
        <w:ind w:left="780" w:hanging="360"/>
      </w:pPr>
      <w:rPr>
        <w:rFonts w:hint="default" w:ascii="Times New Roman" w:hAnsi="Times New Roman" w:eastAsia="宋体"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0"/>
  <w:bordersDoNotSurroundFooter w:val="0"/>
  <w:documentProtection w:enforcement="0"/>
  <w:defaultTabStop w:val="42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rsids>
    <w:rsidRoot w:val="00B23E21"/>
    <w:rsid w:val="0000267D"/>
    <w:rsid w:val="00002D8C"/>
    <w:rsid w:val="00003B27"/>
    <w:rsid w:val="0000493A"/>
    <w:rsid w:val="000065D6"/>
    <w:rsid w:val="00011B88"/>
    <w:rsid w:val="00011E14"/>
    <w:rsid w:val="00012AE6"/>
    <w:rsid w:val="00014A4F"/>
    <w:rsid w:val="00014EDF"/>
    <w:rsid w:val="0002132A"/>
    <w:rsid w:val="00022766"/>
    <w:rsid w:val="00030207"/>
    <w:rsid w:val="00030AFF"/>
    <w:rsid w:val="00031C30"/>
    <w:rsid w:val="00031DB8"/>
    <w:rsid w:val="00035BB9"/>
    <w:rsid w:val="00037B4C"/>
    <w:rsid w:val="00037EEF"/>
    <w:rsid w:val="00041EFB"/>
    <w:rsid w:val="000443CB"/>
    <w:rsid w:val="0004613E"/>
    <w:rsid w:val="0005025A"/>
    <w:rsid w:val="00051708"/>
    <w:rsid w:val="00052200"/>
    <w:rsid w:val="0005224B"/>
    <w:rsid w:val="00053B25"/>
    <w:rsid w:val="00054E9D"/>
    <w:rsid w:val="0005546F"/>
    <w:rsid w:val="000558D3"/>
    <w:rsid w:val="000634EA"/>
    <w:rsid w:val="00066617"/>
    <w:rsid w:val="000678F9"/>
    <w:rsid w:val="00073DED"/>
    <w:rsid w:val="0007669E"/>
    <w:rsid w:val="0008004B"/>
    <w:rsid w:val="0008141F"/>
    <w:rsid w:val="0008214A"/>
    <w:rsid w:val="000838BC"/>
    <w:rsid w:val="00083FEC"/>
    <w:rsid w:val="00085CD7"/>
    <w:rsid w:val="000905E7"/>
    <w:rsid w:val="000930A4"/>
    <w:rsid w:val="000962CC"/>
    <w:rsid w:val="0009711A"/>
    <w:rsid w:val="000A1338"/>
    <w:rsid w:val="000A3604"/>
    <w:rsid w:val="000B0B68"/>
    <w:rsid w:val="000B0D9E"/>
    <w:rsid w:val="000B1544"/>
    <w:rsid w:val="000B49AB"/>
    <w:rsid w:val="000B6BF9"/>
    <w:rsid w:val="000B7948"/>
    <w:rsid w:val="000C0B82"/>
    <w:rsid w:val="000C2B4F"/>
    <w:rsid w:val="000C514F"/>
    <w:rsid w:val="000C7B6C"/>
    <w:rsid w:val="000D084B"/>
    <w:rsid w:val="000D0D8E"/>
    <w:rsid w:val="000D2CF7"/>
    <w:rsid w:val="000D4BA4"/>
    <w:rsid w:val="000D5A39"/>
    <w:rsid w:val="000D7E8E"/>
    <w:rsid w:val="000E5FD0"/>
    <w:rsid w:val="000F0E8E"/>
    <w:rsid w:val="000F2F70"/>
    <w:rsid w:val="000F39D3"/>
    <w:rsid w:val="000F7ADE"/>
    <w:rsid w:val="0010375D"/>
    <w:rsid w:val="0010396C"/>
    <w:rsid w:val="00103E1C"/>
    <w:rsid w:val="00104E00"/>
    <w:rsid w:val="001104C7"/>
    <w:rsid w:val="00110684"/>
    <w:rsid w:val="001131FF"/>
    <w:rsid w:val="0011429C"/>
    <w:rsid w:val="00116D4A"/>
    <w:rsid w:val="00121992"/>
    <w:rsid w:val="001222A0"/>
    <w:rsid w:val="00125600"/>
    <w:rsid w:val="00125753"/>
    <w:rsid w:val="001266C5"/>
    <w:rsid w:val="001267EE"/>
    <w:rsid w:val="001271FA"/>
    <w:rsid w:val="00130D2E"/>
    <w:rsid w:val="00133950"/>
    <w:rsid w:val="0013467D"/>
    <w:rsid w:val="00134842"/>
    <w:rsid w:val="00134ABE"/>
    <w:rsid w:val="00135897"/>
    <w:rsid w:val="00136FC0"/>
    <w:rsid w:val="00140F73"/>
    <w:rsid w:val="00142B5A"/>
    <w:rsid w:val="00142D62"/>
    <w:rsid w:val="00143EB1"/>
    <w:rsid w:val="0014452A"/>
    <w:rsid w:val="001456F0"/>
    <w:rsid w:val="00145C6B"/>
    <w:rsid w:val="001470C4"/>
    <w:rsid w:val="00147AA6"/>
    <w:rsid w:val="0015028D"/>
    <w:rsid w:val="001521C9"/>
    <w:rsid w:val="00155CE9"/>
    <w:rsid w:val="001575E2"/>
    <w:rsid w:val="00157B42"/>
    <w:rsid w:val="001600A9"/>
    <w:rsid w:val="001621F7"/>
    <w:rsid w:val="001626ED"/>
    <w:rsid w:val="0016303F"/>
    <w:rsid w:val="00164B3D"/>
    <w:rsid w:val="00165900"/>
    <w:rsid w:val="001708C3"/>
    <w:rsid w:val="001717C7"/>
    <w:rsid w:val="001737B9"/>
    <w:rsid w:val="001739A6"/>
    <w:rsid w:val="001739CF"/>
    <w:rsid w:val="0017575A"/>
    <w:rsid w:val="001764FD"/>
    <w:rsid w:val="00176663"/>
    <w:rsid w:val="001769C8"/>
    <w:rsid w:val="001769F4"/>
    <w:rsid w:val="00180911"/>
    <w:rsid w:val="00181C86"/>
    <w:rsid w:val="00183052"/>
    <w:rsid w:val="001852D5"/>
    <w:rsid w:val="00185A26"/>
    <w:rsid w:val="00186D61"/>
    <w:rsid w:val="00191451"/>
    <w:rsid w:val="0019444F"/>
    <w:rsid w:val="0019686A"/>
    <w:rsid w:val="001A01B5"/>
    <w:rsid w:val="001A0EFD"/>
    <w:rsid w:val="001A3E0E"/>
    <w:rsid w:val="001B0E06"/>
    <w:rsid w:val="001B2340"/>
    <w:rsid w:val="001B538E"/>
    <w:rsid w:val="001B5D55"/>
    <w:rsid w:val="001B6968"/>
    <w:rsid w:val="001C0139"/>
    <w:rsid w:val="001C17D5"/>
    <w:rsid w:val="001C4C11"/>
    <w:rsid w:val="001D1953"/>
    <w:rsid w:val="001D1F03"/>
    <w:rsid w:val="001D2F7C"/>
    <w:rsid w:val="001D68E4"/>
    <w:rsid w:val="001D714B"/>
    <w:rsid w:val="001E33B3"/>
    <w:rsid w:val="001E69BC"/>
    <w:rsid w:val="001E757B"/>
    <w:rsid w:val="001E7933"/>
    <w:rsid w:val="001F0C1D"/>
    <w:rsid w:val="001F107A"/>
    <w:rsid w:val="001F11F8"/>
    <w:rsid w:val="001F11F9"/>
    <w:rsid w:val="001F1487"/>
    <w:rsid w:val="002010CE"/>
    <w:rsid w:val="002012EC"/>
    <w:rsid w:val="00205000"/>
    <w:rsid w:val="00205CDC"/>
    <w:rsid w:val="002071AE"/>
    <w:rsid w:val="0021046B"/>
    <w:rsid w:val="0021085E"/>
    <w:rsid w:val="002119B2"/>
    <w:rsid w:val="002126E1"/>
    <w:rsid w:val="002127D6"/>
    <w:rsid w:val="00212AB8"/>
    <w:rsid w:val="002143A7"/>
    <w:rsid w:val="00214A2C"/>
    <w:rsid w:val="00216E7B"/>
    <w:rsid w:val="00217183"/>
    <w:rsid w:val="00217A9F"/>
    <w:rsid w:val="00220929"/>
    <w:rsid w:val="00220B6F"/>
    <w:rsid w:val="00221DB2"/>
    <w:rsid w:val="00222D9C"/>
    <w:rsid w:val="00225A4E"/>
    <w:rsid w:val="002325FE"/>
    <w:rsid w:val="002357A2"/>
    <w:rsid w:val="00243AA1"/>
    <w:rsid w:val="00244003"/>
    <w:rsid w:val="002451A0"/>
    <w:rsid w:val="002457BE"/>
    <w:rsid w:val="002458C1"/>
    <w:rsid w:val="00245942"/>
    <w:rsid w:val="00245A89"/>
    <w:rsid w:val="002467BF"/>
    <w:rsid w:val="00246DE5"/>
    <w:rsid w:val="0025057F"/>
    <w:rsid w:val="00250D06"/>
    <w:rsid w:val="002510AA"/>
    <w:rsid w:val="00255043"/>
    <w:rsid w:val="0025657F"/>
    <w:rsid w:val="00256653"/>
    <w:rsid w:val="002606E5"/>
    <w:rsid w:val="00262575"/>
    <w:rsid w:val="002627D4"/>
    <w:rsid w:val="00262BDA"/>
    <w:rsid w:val="00264B97"/>
    <w:rsid w:val="00266EBA"/>
    <w:rsid w:val="002828D1"/>
    <w:rsid w:val="00283B51"/>
    <w:rsid w:val="00283DE0"/>
    <w:rsid w:val="00286AD1"/>
    <w:rsid w:val="002870BA"/>
    <w:rsid w:val="0029509E"/>
    <w:rsid w:val="00297D06"/>
    <w:rsid w:val="002A0D36"/>
    <w:rsid w:val="002A22DF"/>
    <w:rsid w:val="002A3394"/>
    <w:rsid w:val="002A40DA"/>
    <w:rsid w:val="002A61CE"/>
    <w:rsid w:val="002B2707"/>
    <w:rsid w:val="002B55FE"/>
    <w:rsid w:val="002B5A3B"/>
    <w:rsid w:val="002B7CDF"/>
    <w:rsid w:val="002C01C8"/>
    <w:rsid w:val="002C17FB"/>
    <w:rsid w:val="002C1989"/>
    <w:rsid w:val="002C2CF0"/>
    <w:rsid w:val="002C511A"/>
    <w:rsid w:val="002C52A2"/>
    <w:rsid w:val="002C70A6"/>
    <w:rsid w:val="002D0353"/>
    <w:rsid w:val="002D09C7"/>
    <w:rsid w:val="002D1EB5"/>
    <w:rsid w:val="002D30E4"/>
    <w:rsid w:val="002D5710"/>
    <w:rsid w:val="002D611D"/>
    <w:rsid w:val="002D7DD4"/>
    <w:rsid w:val="002E070A"/>
    <w:rsid w:val="002E48CA"/>
    <w:rsid w:val="002E53AB"/>
    <w:rsid w:val="002E58B3"/>
    <w:rsid w:val="002E7A8A"/>
    <w:rsid w:val="002F2640"/>
    <w:rsid w:val="002F37C6"/>
    <w:rsid w:val="002F3ECB"/>
    <w:rsid w:val="002F4694"/>
    <w:rsid w:val="00302C40"/>
    <w:rsid w:val="00303C68"/>
    <w:rsid w:val="00305B5A"/>
    <w:rsid w:val="00305C3B"/>
    <w:rsid w:val="003121FF"/>
    <w:rsid w:val="00312A3F"/>
    <w:rsid w:val="00313EB0"/>
    <w:rsid w:val="00315A7B"/>
    <w:rsid w:val="00315E3C"/>
    <w:rsid w:val="00316457"/>
    <w:rsid w:val="003169BD"/>
    <w:rsid w:val="00317A93"/>
    <w:rsid w:val="003202F9"/>
    <w:rsid w:val="00320E61"/>
    <w:rsid w:val="00322055"/>
    <w:rsid w:val="00323D7A"/>
    <w:rsid w:val="00326095"/>
    <w:rsid w:val="0033180A"/>
    <w:rsid w:val="00331B48"/>
    <w:rsid w:val="003329FB"/>
    <w:rsid w:val="0033303C"/>
    <w:rsid w:val="0033470E"/>
    <w:rsid w:val="00335E5D"/>
    <w:rsid w:val="00340C4D"/>
    <w:rsid w:val="003430F5"/>
    <w:rsid w:val="003444D3"/>
    <w:rsid w:val="003466F6"/>
    <w:rsid w:val="00347E6D"/>
    <w:rsid w:val="0035165D"/>
    <w:rsid w:val="00351719"/>
    <w:rsid w:val="00351E09"/>
    <w:rsid w:val="00354459"/>
    <w:rsid w:val="003554A3"/>
    <w:rsid w:val="003570B5"/>
    <w:rsid w:val="00357385"/>
    <w:rsid w:val="0036040C"/>
    <w:rsid w:val="00360DF5"/>
    <w:rsid w:val="00363D9D"/>
    <w:rsid w:val="00364DE4"/>
    <w:rsid w:val="003662FC"/>
    <w:rsid w:val="00370C94"/>
    <w:rsid w:val="00370E1F"/>
    <w:rsid w:val="003741FC"/>
    <w:rsid w:val="00374BEC"/>
    <w:rsid w:val="0037530A"/>
    <w:rsid w:val="003758FF"/>
    <w:rsid w:val="00376FE2"/>
    <w:rsid w:val="003773AB"/>
    <w:rsid w:val="0038036E"/>
    <w:rsid w:val="00382C9E"/>
    <w:rsid w:val="0038343E"/>
    <w:rsid w:val="00384AE7"/>
    <w:rsid w:val="00385899"/>
    <w:rsid w:val="00385A59"/>
    <w:rsid w:val="00385A83"/>
    <w:rsid w:val="003868D7"/>
    <w:rsid w:val="003913D1"/>
    <w:rsid w:val="0039445C"/>
    <w:rsid w:val="00395170"/>
    <w:rsid w:val="00397628"/>
    <w:rsid w:val="003A1A56"/>
    <w:rsid w:val="003A2ABF"/>
    <w:rsid w:val="003A609B"/>
    <w:rsid w:val="003A60CB"/>
    <w:rsid w:val="003A7AB7"/>
    <w:rsid w:val="003B1352"/>
    <w:rsid w:val="003B2AC2"/>
    <w:rsid w:val="003B2BBF"/>
    <w:rsid w:val="003B4852"/>
    <w:rsid w:val="003B5AC4"/>
    <w:rsid w:val="003B633A"/>
    <w:rsid w:val="003C11BC"/>
    <w:rsid w:val="003C2290"/>
    <w:rsid w:val="003C5EEB"/>
    <w:rsid w:val="003C756E"/>
    <w:rsid w:val="003C7C76"/>
    <w:rsid w:val="003D2B88"/>
    <w:rsid w:val="003D2F1D"/>
    <w:rsid w:val="003D3C77"/>
    <w:rsid w:val="003D418F"/>
    <w:rsid w:val="003D785A"/>
    <w:rsid w:val="003E6E81"/>
    <w:rsid w:val="003E71AD"/>
    <w:rsid w:val="003F00AD"/>
    <w:rsid w:val="003F15AB"/>
    <w:rsid w:val="003F195E"/>
    <w:rsid w:val="003F21B7"/>
    <w:rsid w:val="003F2559"/>
    <w:rsid w:val="003F2C2A"/>
    <w:rsid w:val="003F5402"/>
    <w:rsid w:val="003F5B95"/>
    <w:rsid w:val="003F5C18"/>
    <w:rsid w:val="003F7092"/>
    <w:rsid w:val="003F70A8"/>
    <w:rsid w:val="00404586"/>
    <w:rsid w:val="00404793"/>
    <w:rsid w:val="00405674"/>
    <w:rsid w:val="00407BFC"/>
    <w:rsid w:val="00412217"/>
    <w:rsid w:val="004137EE"/>
    <w:rsid w:val="004138DC"/>
    <w:rsid w:val="00414854"/>
    <w:rsid w:val="004161A7"/>
    <w:rsid w:val="0041680B"/>
    <w:rsid w:val="0041770D"/>
    <w:rsid w:val="00420C41"/>
    <w:rsid w:val="00420E8F"/>
    <w:rsid w:val="004221EA"/>
    <w:rsid w:val="00425E81"/>
    <w:rsid w:val="00425F6B"/>
    <w:rsid w:val="004270F5"/>
    <w:rsid w:val="00430004"/>
    <w:rsid w:val="0043225B"/>
    <w:rsid w:val="00432ADC"/>
    <w:rsid w:val="0043557C"/>
    <w:rsid w:val="0044221D"/>
    <w:rsid w:val="00444D41"/>
    <w:rsid w:val="0044717E"/>
    <w:rsid w:val="00447E46"/>
    <w:rsid w:val="0045027A"/>
    <w:rsid w:val="00450FD1"/>
    <w:rsid w:val="00451352"/>
    <w:rsid w:val="0045169B"/>
    <w:rsid w:val="00451909"/>
    <w:rsid w:val="00451CCB"/>
    <w:rsid w:val="00451D72"/>
    <w:rsid w:val="00452228"/>
    <w:rsid w:val="004545DF"/>
    <w:rsid w:val="00461982"/>
    <w:rsid w:val="00461EB4"/>
    <w:rsid w:val="00463FF8"/>
    <w:rsid w:val="00465F83"/>
    <w:rsid w:val="0046780C"/>
    <w:rsid w:val="00472CB9"/>
    <w:rsid w:val="00475184"/>
    <w:rsid w:val="0048139A"/>
    <w:rsid w:val="0048294C"/>
    <w:rsid w:val="0048501C"/>
    <w:rsid w:val="004857CD"/>
    <w:rsid w:val="00490E90"/>
    <w:rsid w:val="004927BA"/>
    <w:rsid w:val="004929D9"/>
    <w:rsid w:val="004A257A"/>
    <w:rsid w:val="004A3EAD"/>
    <w:rsid w:val="004A57B8"/>
    <w:rsid w:val="004A5936"/>
    <w:rsid w:val="004A5A3A"/>
    <w:rsid w:val="004A5C99"/>
    <w:rsid w:val="004A6743"/>
    <w:rsid w:val="004A7184"/>
    <w:rsid w:val="004B0C80"/>
    <w:rsid w:val="004B0D18"/>
    <w:rsid w:val="004B1E59"/>
    <w:rsid w:val="004B314A"/>
    <w:rsid w:val="004B3C41"/>
    <w:rsid w:val="004B5335"/>
    <w:rsid w:val="004B5D6F"/>
    <w:rsid w:val="004B5F80"/>
    <w:rsid w:val="004B604D"/>
    <w:rsid w:val="004C5671"/>
    <w:rsid w:val="004C611A"/>
    <w:rsid w:val="004C6210"/>
    <w:rsid w:val="004C6B0C"/>
    <w:rsid w:val="004C7CBC"/>
    <w:rsid w:val="004D0890"/>
    <w:rsid w:val="004D126D"/>
    <w:rsid w:val="004D1361"/>
    <w:rsid w:val="004D196B"/>
    <w:rsid w:val="004D565E"/>
    <w:rsid w:val="004E2257"/>
    <w:rsid w:val="004E3F34"/>
    <w:rsid w:val="004E4963"/>
    <w:rsid w:val="004E6955"/>
    <w:rsid w:val="004F1D1A"/>
    <w:rsid w:val="004F2BE6"/>
    <w:rsid w:val="004F2CCF"/>
    <w:rsid w:val="004F4A73"/>
    <w:rsid w:val="004F5058"/>
    <w:rsid w:val="00500056"/>
    <w:rsid w:val="00500C3A"/>
    <w:rsid w:val="005061D3"/>
    <w:rsid w:val="00510134"/>
    <w:rsid w:val="00511183"/>
    <w:rsid w:val="00514D20"/>
    <w:rsid w:val="0052080A"/>
    <w:rsid w:val="00522CCF"/>
    <w:rsid w:val="00524CBC"/>
    <w:rsid w:val="00526C5A"/>
    <w:rsid w:val="00527165"/>
    <w:rsid w:val="005275F9"/>
    <w:rsid w:val="005317A1"/>
    <w:rsid w:val="005324ED"/>
    <w:rsid w:val="00532522"/>
    <w:rsid w:val="005346F7"/>
    <w:rsid w:val="005430A0"/>
    <w:rsid w:val="00545DDD"/>
    <w:rsid w:val="0054660E"/>
    <w:rsid w:val="00546888"/>
    <w:rsid w:val="00547D96"/>
    <w:rsid w:val="0055419D"/>
    <w:rsid w:val="005554FE"/>
    <w:rsid w:val="00563DA5"/>
    <w:rsid w:val="00564DFC"/>
    <w:rsid w:val="005678EE"/>
    <w:rsid w:val="00570166"/>
    <w:rsid w:val="00572656"/>
    <w:rsid w:val="00573709"/>
    <w:rsid w:val="00573A19"/>
    <w:rsid w:val="00574C6E"/>
    <w:rsid w:val="00574CE6"/>
    <w:rsid w:val="00576F77"/>
    <w:rsid w:val="00585E32"/>
    <w:rsid w:val="005913E3"/>
    <w:rsid w:val="00591E2D"/>
    <w:rsid w:val="005921B2"/>
    <w:rsid w:val="00592482"/>
    <w:rsid w:val="005961B9"/>
    <w:rsid w:val="005A0A72"/>
    <w:rsid w:val="005A116F"/>
    <w:rsid w:val="005A2C32"/>
    <w:rsid w:val="005B03C7"/>
    <w:rsid w:val="005B2069"/>
    <w:rsid w:val="005B2B7B"/>
    <w:rsid w:val="005B45F4"/>
    <w:rsid w:val="005B46BD"/>
    <w:rsid w:val="005B5561"/>
    <w:rsid w:val="005B6F37"/>
    <w:rsid w:val="005B7298"/>
    <w:rsid w:val="005B7359"/>
    <w:rsid w:val="005C2794"/>
    <w:rsid w:val="005C4203"/>
    <w:rsid w:val="005C5320"/>
    <w:rsid w:val="005C5402"/>
    <w:rsid w:val="005C78F0"/>
    <w:rsid w:val="005C7A78"/>
    <w:rsid w:val="005C7FFC"/>
    <w:rsid w:val="005D5070"/>
    <w:rsid w:val="005D6849"/>
    <w:rsid w:val="005D76B7"/>
    <w:rsid w:val="005D7D71"/>
    <w:rsid w:val="005E0FA0"/>
    <w:rsid w:val="005E1E82"/>
    <w:rsid w:val="005E24E2"/>
    <w:rsid w:val="005E3F83"/>
    <w:rsid w:val="005E5689"/>
    <w:rsid w:val="005E57B2"/>
    <w:rsid w:val="005E6961"/>
    <w:rsid w:val="005E712F"/>
    <w:rsid w:val="005F2C30"/>
    <w:rsid w:val="005F4FC2"/>
    <w:rsid w:val="005F503F"/>
    <w:rsid w:val="005F78DE"/>
    <w:rsid w:val="005F7AE0"/>
    <w:rsid w:val="00600F29"/>
    <w:rsid w:val="006025F3"/>
    <w:rsid w:val="00602627"/>
    <w:rsid w:val="006050BC"/>
    <w:rsid w:val="00605345"/>
    <w:rsid w:val="006057E9"/>
    <w:rsid w:val="006079C3"/>
    <w:rsid w:val="006119FF"/>
    <w:rsid w:val="0061221B"/>
    <w:rsid w:val="0061536A"/>
    <w:rsid w:val="006170C6"/>
    <w:rsid w:val="0062033E"/>
    <w:rsid w:val="00622277"/>
    <w:rsid w:val="006226BE"/>
    <w:rsid w:val="00626BC2"/>
    <w:rsid w:val="00627408"/>
    <w:rsid w:val="00631EB5"/>
    <w:rsid w:val="0063277E"/>
    <w:rsid w:val="00632EA3"/>
    <w:rsid w:val="00634F6A"/>
    <w:rsid w:val="00636EEE"/>
    <w:rsid w:val="006377C7"/>
    <w:rsid w:val="00637A22"/>
    <w:rsid w:val="006428BB"/>
    <w:rsid w:val="0064607D"/>
    <w:rsid w:val="00651801"/>
    <w:rsid w:val="00654DD9"/>
    <w:rsid w:val="006563B2"/>
    <w:rsid w:val="00656EDC"/>
    <w:rsid w:val="0065798D"/>
    <w:rsid w:val="006600E4"/>
    <w:rsid w:val="0066261E"/>
    <w:rsid w:val="006641C9"/>
    <w:rsid w:val="00664DA7"/>
    <w:rsid w:val="00665BFD"/>
    <w:rsid w:val="00665C96"/>
    <w:rsid w:val="0066664F"/>
    <w:rsid w:val="00666B07"/>
    <w:rsid w:val="00667157"/>
    <w:rsid w:val="0066724F"/>
    <w:rsid w:val="006672DE"/>
    <w:rsid w:val="006715DE"/>
    <w:rsid w:val="006725EB"/>
    <w:rsid w:val="0067308B"/>
    <w:rsid w:val="00673582"/>
    <w:rsid w:val="0067526C"/>
    <w:rsid w:val="00676DEB"/>
    <w:rsid w:val="00682756"/>
    <w:rsid w:val="0069063D"/>
    <w:rsid w:val="00691AE3"/>
    <w:rsid w:val="00692875"/>
    <w:rsid w:val="00692B07"/>
    <w:rsid w:val="006940AB"/>
    <w:rsid w:val="006950B0"/>
    <w:rsid w:val="006957B2"/>
    <w:rsid w:val="00695D63"/>
    <w:rsid w:val="00697A4A"/>
    <w:rsid w:val="006A0B16"/>
    <w:rsid w:val="006A1F30"/>
    <w:rsid w:val="006A51D5"/>
    <w:rsid w:val="006A664D"/>
    <w:rsid w:val="006B0823"/>
    <w:rsid w:val="006B2FE8"/>
    <w:rsid w:val="006B323C"/>
    <w:rsid w:val="006B561C"/>
    <w:rsid w:val="006B676C"/>
    <w:rsid w:val="006C2BA2"/>
    <w:rsid w:val="006C3CED"/>
    <w:rsid w:val="006C3ED3"/>
    <w:rsid w:val="006C4A45"/>
    <w:rsid w:val="006C4B70"/>
    <w:rsid w:val="006D0010"/>
    <w:rsid w:val="006D23F5"/>
    <w:rsid w:val="006D295B"/>
    <w:rsid w:val="006D2F40"/>
    <w:rsid w:val="006D33B1"/>
    <w:rsid w:val="006D3BAA"/>
    <w:rsid w:val="006D7129"/>
    <w:rsid w:val="006E1A17"/>
    <w:rsid w:val="006E3CDD"/>
    <w:rsid w:val="006E3CDF"/>
    <w:rsid w:val="006E6175"/>
    <w:rsid w:val="006E63A9"/>
    <w:rsid w:val="006F0627"/>
    <w:rsid w:val="006F1939"/>
    <w:rsid w:val="006F21AD"/>
    <w:rsid w:val="006F30FA"/>
    <w:rsid w:val="006F39A0"/>
    <w:rsid w:val="006F4386"/>
    <w:rsid w:val="006F6B9C"/>
    <w:rsid w:val="006F6F63"/>
    <w:rsid w:val="00703756"/>
    <w:rsid w:val="00703AD2"/>
    <w:rsid w:val="0070447D"/>
    <w:rsid w:val="00705A89"/>
    <w:rsid w:val="00707FE0"/>
    <w:rsid w:val="00711377"/>
    <w:rsid w:val="00712E40"/>
    <w:rsid w:val="00713B67"/>
    <w:rsid w:val="00716DBE"/>
    <w:rsid w:val="00720F62"/>
    <w:rsid w:val="007218C5"/>
    <w:rsid w:val="00722CCD"/>
    <w:rsid w:val="00725C92"/>
    <w:rsid w:val="00726273"/>
    <w:rsid w:val="00726368"/>
    <w:rsid w:val="00727C7F"/>
    <w:rsid w:val="00727D0A"/>
    <w:rsid w:val="00727F1C"/>
    <w:rsid w:val="007316CB"/>
    <w:rsid w:val="007325B8"/>
    <w:rsid w:val="007344B8"/>
    <w:rsid w:val="00737EEF"/>
    <w:rsid w:val="007402F8"/>
    <w:rsid w:val="00747E62"/>
    <w:rsid w:val="00751120"/>
    <w:rsid w:val="0075184D"/>
    <w:rsid w:val="00755563"/>
    <w:rsid w:val="0075600D"/>
    <w:rsid w:val="007576F5"/>
    <w:rsid w:val="007630D5"/>
    <w:rsid w:val="007648E8"/>
    <w:rsid w:val="00765C71"/>
    <w:rsid w:val="00770FDD"/>
    <w:rsid w:val="0077186E"/>
    <w:rsid w:val="00773A07"/>
    <w:rsid w:val="00773E30"/>
    <w:rsid w:val="00774164"/>
    <w:rsid w:val="00775022"/>
    <w:rsid w:val="007761D8"/>
    <w:rsid w:val="00776381"/>
    <w:rsid w:val="00780503"/>
    <w:rsid w:val="00782E08"/>
    <w:rsid w:val="007848C8"/>
    <w:rsid w:val="00787E40"/>
    <w:rsid w:val="00791056"/>
    <w:rsid w:val="0079174C"/>
    <w:rsid w:val="00791CAD"/>
    <w:rsid w:val="007928DF"/>
    <w:rsid w:val="00792D4E"/>
    <w:rsid w:val="00793B4B"/>
    <w:rsid w:val="00794F74"/>
    <w:rsid w:val="00795B97"/>
    <w:rsid w:val="00797A64"/>
    <w:rsid w:val="007A0BB2"/>
    <w:rsid w:val="007A1786"/>
    <w:rsid w:val="007A22F5"/>
    <w:rsid w:val="007A2756"/>
    <w:rsid w:val="007A27DA"/>
    <w:rsid w:val="007A31B0"/>
    <w:rsid w:val="007A34E3"/>
    <w:rsid w:val="007A3CF8"/>
    <w:rsid w:val="007A5EF7"/>
    <w:rsid w:val="007B2698"/>
    <w:rsid w:val="007B38BC"/>
    <w:rsid w:val="007B4342"/>
    <w:rsid w:val="007B4D21"/>
    <w:rsid w:val="007B6EEA"/>
    <w:rsid w:val="007B74CD"/>
    <w:rsid w:val="007B7895"/>
    <w:rsid w:val="007C0F0C"/>
    <w:rsid w:val="007C1209"/>
    <w:rsid w:val="007C76E5"/>
    <w:rsid w:val="007D0DF5"/>
    <w:rsid w:val="007D2A0A"/>
    <w:rsid w:val="007D6865"/>
    <w:rsid w:val="007D70B6"/>
    <w:rsid w:val="007D77BB"/>
    <w:rsid w:val="007D7CFF"/>
    <w:rsid w:val="007E0554"/>
    <w:rsid w:val="007F056B"/>
    <w:rsid w:val="007F107B"/>
    <w:rsid w:val="007F1151"/>
    <w:rsid w:val="007F3E4D"/>
    <w:rsid w:val="007F437D"/>
    <w:rsid w:val="007F4CAB"/>
    <w:rsid w:val="007F7BF4"/>
    <w:rsid w:val="008001AA"/>
    <w:rsid w:val="0080154D"/>
    <w:rsid w:val="008023A3"/>
    <w:rsid w:val="00803A0A"/>
    <w:rsid w:val="0080641A"/>
    <w:rsid w:val="00806D2C"/>
    <w:rsid w:val="00811430"/>
    <w:rsid w:val="00812952"/>
    <w:rsid w:val="008130F5"/>
    <w:rsid w:val="00813772"/>
    <w:rsid w:val="0081419B"/>
    <w:rsid w:val="00817632"/>
    <w:rsid w:val="00820A67"/>
    <w:rsid w:val="00821602"/>
    <w:rsid w:val="00822966"/>
    <w:rsid w:val="0082299A"/>
    <w:rsid w:val="00823342"/>
    <w:rsid w:val="00824D8B"/>
    <w:rsid w:val="00825A92"/>
    <w:rsid w:val="00831A65"/>
    <w:rsid w:val="00835535"/>
    <w:rsid w:val="00837DCD"/>
    <w:rsid w:val="00841EA6"/>
    <w:rsid w:val="00843218"/>
    <w:rsid w:val="00846F02"/>
    <w:rsid w:val="008474A5"/>
    <w:rsid w:val="00850CF5"/>
    <w:rsid w:val="008542CB"/>
    <w:rsid w:val="00854DCE"/>
    <w:rsid w:val="00861301"/>
    <w:rsid w:val="00861811"/>
    <w:rsid w:val="008624CD"/>
    <w:rsid w:val="00862D44"/>
    <w:rsid w:val="008657FA"/>
    <w:rsid w:val="008704AB"/>
    <w:rsid w:val="00874A93"/>
    <w:rsid w:val="00880682"/>
    <w:rsid w:val="00880A0D"/>
    <w:rsid w:val="00882B54"/>
    <w:rsid w:val="00885B93"/>
    <w:rsid w:val="00886CAF"/>
    <w:rsid w:val="008909BD"/>
    <w:rsid w:val="008920D5"/>
    <w:rsid w:val="00892B96"/>
    <w:rsid w:val="00893313"/>
    <w:rsid w:val="00896510"/>
    <w:rsid w:val="00896C8F"/>
    <w:rsid w:val="008A0F28"/>
    <w:rsid w:val="008A1E4E"/>
    <w:rsid w:val="008A255D"/>
    <w:rsid w:val="008A2A84"/>
    <w:rsid w:val="008A38FB"/>
    <w:rsid w:val="008A46C7"/>
    <w:rsid w:val="008A4BD2"/>
    <w:rsid w:val="008A65E3"/>
    <w:rsid w:val="008A68EB"/>
    <w:rsid w:val="008A6E2B"/>
    <w:rsid w:val="008A7624"/>
    <w:rsid w:val="008B09F5"/>
    <w:rsid w:val="008B0B25"/>
    <w:rsid w:val="008B25ED"/>
    <w:rsid w:val="008B6099"/>
    <w:rsid w:val="008B64CF"/>
    <w:rsid w:val="008B65BE"/>
    <w:rsid w:val="008C167F"/>
    <w:rsid w:val="008C2493"/>
    <w:rsid w:val="008C3888"/>
    <w:rsid w:val="008C3DDB"/>
    <w:rsid w:val="008C5CE8"/>
    <w:rsid w:val="008C6A16"/>
    <w:rsid w:val="008C7F4B"/>
    <w:rsid w:val="008D1694"/>
    <w:rsid w:val="008D3538"/>
    <w:rsid w:val="008D3DD1"/>
    <w:rsid w:val="008D6A54"/>
    <w:rsid w:val="008D6BAB"/>
    <w:rsid w:val="008E2A38"/>
    <w:rsid w:val="008E4BE6"/>
    <w:rsid w:val="008E4CBA"/>
    <w:rsid w:val="008E5277"/>
    <w:rsid w:val="008E743B"/>
    <w:rsid w:val="008E7B67"/>
    <w:rsid w:val="008E7CF3"/>
    <w:rsid w:val="008F216E"/>
    <w:rsid w:val="008F66A9"/>
    <w:rsid w:val="00901BFD"/>
    <w:rsid w:val="0090383C"/>
    <w:rsid w:val="00904219"/>
    <w:rsid w:val="0090508F"/>
    <w:rsid w:val="00905213"/>
    <w:rsid w:val="00907DDC"/>
    <w:rsid w:val="00911B84"/>
    <w:rsid w:val="0091413D"/>
    <w:rsid w:val="0091509D"/>
    <w:rsid w:val="009151AB"/>
    <w:rsid w:val="0092138C"/>
    <w:rsid w:val="009233E3"/>
    <w:rsid w:val="00925409"/>
    <w:rsid w:val="00925A09"/>
    <w:rsid w:val="00927035"/>
    <w:rsid w:val="00930691"/>
    <w:rsid w:val="00930857"/>
    <w:rsid w:val="00930FEB"/>
    <w:rsid w:val="009314E1"/>
    <w:rsid w:val="009317ED"/>
    <w:rsid w:val="00932BF9"/>
    <w:rsid w:val="00932DCE"/>
    <w:rsid w:val="00934A98"/>
    <w:rsid w:val="009353E3"/>
    <w:rsid w:val="00945347"/>
    <w:rsid w:val="00945931"/>
    <w:rsid w:val="00953BA7"/>
    <w:rsid w:val="00956F28"/>
    <w:rsid w:val="00957BE4"/>
    <w:rsid w:val="00962422"/>
    <w:rsid w:val="009628FE"/>
    <w:rsid w:val="00963217"/>
    <w:rsid w:val="009679E7"/>
    <w:rsid w:val="00970BE1"/>
    <w:rsid w:val="009713F0"/>
    <w:rsid w:val="00971652"/>
    <w:rsid w:val="00972652"/>
    <w:rsid w:val="009740F9"/>
    <w:rsid w:val="00974BB3"/>
    <w:rsid w:val="00977654"/>
    <w:rsid w:val="00977CAD"/>
    <w:rsid w:val="00977EBD"/>
    <w:rsid w:val="009804D2"/>
    <w:rsid w:val="00980797"/>
    <w:rsid w:val="00983C94"/>
    <w:rsid w:val="00985BAB"/>
    <w:rsid w:val="00994EFD"/>
    <w:rsid w:val="00995587"/>
    <w:rsid w:val="00997485"/>
    <w:rsid w:val="009A00AC"/>
    <w:rsid w:val="009A4ED6"/>
    <w:rsid w:val="009A64EE"/>
    <w:rsid w:val="009B1349"/>
    <w:rsid w:val="009B1E12"/>
    <w:rsid w:val="009B2466"/>
    <w:rsid w:val="009B2831"/>
    <w:rsid w:val="009B4383"/>
    <w:rsid w:val="009B5082"/>
    <w:rsid w:val="009B5DB9"/>
    <w:rsid w:val="009C0D67"/>
    <w:rsid w:val="009C1794"/>
    <w:rsid w:val="009C3D87"/>
    <w:rsid w:val="009C4282"/>
    <w:rsid w:val="009C68D4"/>
    <w:rsid w:val="009C6BBC"/>
    <w:rsid w:val="009C6BBD"/>
    <w:rsid w:val="009C772B"/>
    <w:rsid w:val="009D1CC8"/>
    <w:rsid w:val="009D243E"/>
    <w:rsid w:val="009D319F"/>
    <w:rsid w:val="009D3E49"/>
    <w:rsid w:val="009D5BAD"/>
    <w:rsid w:val="009D60DC"/>
    <w:rsid w:val="009E1717"/>
    <w:rsid w:val="009E3922"/>
    <w:rsid w:val="009E410F"/>
    <w:rsid w:val="009F0768"/>
    <w:rsid w:val="009F2684"/>
    <w:rsid w:val="009F38AE"/>
    <w:rsid w:val="009F4810"/>
    <w:rsid w:val="009F4870"/>
    <w:rsid w:val="00A00ED0"/>
    <w:rsid w:val="00A024E6"/>
    <w:rsid w:val="00A02DF5"/>
    <w:rsid w:val="00A047C6"/>
    <w:rsid w:val="00A04A2F"/>
    <w:rsid w:val="00A0570A"/>
    <w:rsid w:val="00A06743"/>
    <w:rsid w:val="00A12797"/>
    <w:rsid w:val="00A1483C"/>
    <w:rsid w:val="00A151AF"/>
    <w:rsid w:val="00A15320"/>
    <w:rsid w:val="00A15711"/>
    <w:rsid w:val="00A15863"/>
    <w:rsid w:val="00A176DF"/>
    <w:rsid w:val="00A17DBC"/>
    <w:rsid w:val="00A20A55"/>
    <w:rsid w:val="00A20AAA"/>
    <w:rsid w:val="00A252FF"/>
    <w:rsid w:val="00A2791A"/>
    <w:rsid w:val="00A27DA9"/>
    <w:rsid w:val="00A27F01"/>
    <w:rsid w:val="00A3259C"/>
    <w:rsid w:val="00A329BC"/>
    <w:rsid w:val="00A32ADD"/>
    <w:rsid w:val="00A32E23"/>
    <w:rsid w:val="00A33FE4"/>
    <w:rsid w:val="00A363FB"/>
    <w:rsid w:val="00A373CB"/>
    <w:rsid w:val="00A406A1"/>
    <w:rsid w:val="00A4176F"/>
    <w:rsid w:val="00A468F6"/>
    <w:rsid w:val="00A47CB1"/>
    <w:rsid w:val="00A535C7"/>
    <w:rsid w:val="00A53FE4"/>
    <w:rsid w:val="00A544D5"/>
    <w:rsid w:val="00A55A4B"/>
    <w:rsid w:val="00A56C16"/>
    <w:rsid w:val="00A57687"/>
    <w:rsid w:val="00A603C4"/>
    <w:rsid w:val="00A624EC"/>
    <w:rsid w:val="00A62B5C"/>
    <w:rsid w:val="00A63803"/>
    <w:rsid w:val="00A6419F"/>
    <w:rsid w:val="00A73ABA"/>
    <w:rsid w:val="00A75BDB"/>
    <w:rsid w:val="00A7762F"/>
    <w:rsid w:val="00A81B51"/>
    <w:rsid w:val="00A831C6"/>
    <w:rsid w:val="00A83AEC"/>
    <w:rsid w:val="00A83B00"/>
    <w:rsid w:val="00A850FE"/>
    <w:rsid w:val="00A866D6"/>
    <w:rsid w:val="00A8672B"/>
    <w:rsid w:val="00A9172D"/>
    <w:rsid w:val="00A91921"/>
    <w:rsid w:val="00A925C5"/>
    <w:rsid w:val="00A9264E"/>
    <w:rsid w:val="00A92739"/>
    <w:rsid w:val="00A9274C"/>
    <w:rsid w:val="00A945C6"/>
    <w:rsid w:val="00A95BEF"/>
    <w:rsid w:val="00A97CE7"/>
    <w:rsid w:val="00AA13CA"/>
    <w:rsid w:val="00AA30F3"/>
    <w:rsid w:val="00AA31BB"/>
    <w:rsid w:val="00AA3800"/>
    <w:rsid w:val="00AA41F8"/>
    <w:rsid w:val="00AA555D"/>
    <w:rsid w:val="00AA69C1"/>
    <w:rsid w:val="00AB1DA5"/>
    <w:rsid w:val="00AB248A"/>
    <w:rsid w:val="00AB4079"/>
    <w:rsid w:val="00AB4410"/>
    <w:rsid w:val="00AB4EAC"/>
    <w:rsid w:val="00AB5770"/>
    <w:rsid w:val="00AB5A76"/>
    <w:rsid w:val="00AB6AC4"/>
    <w:rsid w:val="00AB6F73"/>
    <w:rsid w:val="00AC032E"/>
    <w:rsid w:val="00AC1385"/>
    <w:rsid w:val="00AC22BF"/>
    <w:rsid w:val="00AC5657"/>
    <w:rsid w:val="00AC5CD0"/>
    <w:rsid w:val="00AD1B37"/>
    <w:rsid w:val="00AD1DE3"/>
    <w:rsid w:val="00AD4C96"/>
    <w:rsid w:val="00AD595B"/>
    <w:rsid w:val="00AD7089"/>
    <w:rsid w:val="00AE06A4"/>
    <w:rsid w:val="00AE1EAD"/>
    <w:rsid w:val="00AE3427"/>
    <w:rsid w:val="00AE4A1C"/>
    <w:rsid w:val="00AE6597"/>
    <w:rsid w:val="00AF0A5F"/>
    <w:rsid w:val="00AF19C6"/>
    <w:rsid w:val="00AF30C7"/>
    <w:rsid w:val="00AF501E"/>
    <w:rsid w:val="00AF5389"/>
    <w:rsid w:val="00AF7AE3"/>
    <w:rsid w:val="00B002EE"/>
    <w:rsid w:val="00B013F0"/>
    <w:rsid w:val="00B04532"/>
    <w:rsid w:val="00B0460A"/>
    <w:rsid w:val="00B04DB3"/>
    <w:rsid w:val="00B1025E"/>
    <w:rsid w:val="00B12E8D"/>
    <w:rsid w:val="00B13836"/>
    <w:rsid w:val="00B14FB0"/>
    <w:rsid w:val="00B152B2"/>
    <w:rsid w:val="00B173F6"/>
    <w:rsid w:val="00B22146"/>
    <w:rsid w:val="00B235D7"/>
    <w:rsid w:val="00B23888"/>
    <w:rsid w:val="00B23E21"/>
    <w:rsid w:val="00B253EF"/>
    <w:rsid w:val="00B25463"/>
    <w:rsid w:val="00B31070"/>
    <w:rsid w:val="00B310A5"/>
    <w:rsid w:val="00B31B99"/>
    <w:rsid w:val="00B3262F"/>
    <w:rsid w:val="00B3433C"/>
    <w:rsid w:val="00B34382"/>
    <w:rsid w:val="00B37958"/>
    <w:rsid w:val="00B40AED"/>
    <w:rsid w:val="00B423B7"/>
    <w:rsid w:val="00B428CF"/>
    <w:rsid w:val="00B43ED8"/>
    <w:rsid w:val="00B44BD1"/>
    <w:rsid w:val="00B46384"/>
    <w:rsid w:val="00B511FA"/>
    <w:rsid w:val="00B55304"/>
    <w:rsid w:val="00B60740"/>
    <w:rsid w:val="00B6556E"/>
    <w:rsid w:val="00B731C2"/>
    <w:rsid w:val="00B755DD"/>
    <w:rsid w:val="00B77A69"/>
    <w:rsid w:val="00B81F0E"/>
    <w:rsid w:val="00B830A8"/>
    <w:rsid w:val="00B836B7"/>
    <w:rsid w:val="00B84847"/>
    <w:rsid w:val="00B901BC"/>
    <w:rsid w:val="00B92FD1"/>
    <w:rsid w:val="00B94CE0"/>
    <w:rsid w:val="00B952E2"/>
    <w:rsid w:val="00BA1543"/>
    <w:rsid w:val="00BA4895"/>
    <w:rsid w:val="00BB245C"/>
    <w:rsid w:val="00BB452E"/>
    <w:rsid w:val="00BB4864"/>
    <w:rsid w:val="00BB6140"/>
    <w:rsid w:val="00BB7DC7"/>
    <w:rsid w:val="00BC008C"/>
    <w:rsid w:val="00BC0B20"/>
    <w:rsid w:val="00BC30EE"/>
    <w:rsid w:val="00BC5DF3"/>
    <w:rsid w:val="00BC7C05"/>
    <w:rsid w:val="00BD3CA3"/>
    <w:rsid w:val="00BD3E2F"/>
    <w:rsid w:val="00BD4049"/>
    <w:rsid w:val="00BD4669"/>
    <w:rsid w:val="00BD49BB"/>
    <w:rsid w:val="00BD722A"/>
    <w:rsid w:val="00BD7303"/>
    <w:rsid w:val="00BE1136"/>
    <w:rsid w:val="00BE2147"/>
    <w:rsid w:val="00BE2AB3"/>
    <w:rsid w:val="00BE37EA"/>
    <w:rsid w:val="00BE391F"/>
    <w:rsid w:val="00BE511D"/>
    <w:rsid w:val="00BE5CDD"/>
    <w:rsid w:val="00BF2243"/>
    <w:rsid w:val="00BF2604"/>
    <w:rsid w:val="00BF2BA2"/>
    <w:rsid w:val="00BF438B"/>
    <w:rsid w:val="00BF5339"/>
    <w:rsid w:val="00BF73C7"/>
    <w:rsid w:val="00C007EF"/>
    <w:rsid w:val="00C02665"/>
    <w:rsid w:val="00C0686B"/>
    <w:rsid w:val="00C069D5"/>
    <w:rsid w:val="00C070CA"/>
    <w:rsid w:val="00C071A7"/>
    <w:rsid w:val="00C103F4"/>
    <w:rsid w:val="00C10432"/>
    <w:rsid w:val="00C11DB0"/>
    <w:rsid w:val="00C164E6"/>
    <w:rsid w:val="00C167FD"/>
    <w:rsid w:val="00C16DBC"/>
    <w:rsid w:val="00C1727A"/>
    <w:rsid w:val="00C216D8"/>
    <w:rsid w:val="00C21E9D"/>
    <w:rsid w:val="00C23374"/>
    <w:rsid w:val="00C30A07"/>
    <w:rsid w:val="00C31EFD"/>
    <w:rsid w:val="00C32EC2"/>
    <w:rsid w:val="00C33119"/>
    <w:rsid w:val="00C33B99"/>
    <w:rsid w:val="00C33D5B"/>
    <w:rsid w:val="00C34D24"/>
    <w:rsid w:val="00C351EF"/>
    <w:rsid w:val="00C3579B"/>
    <w:rsid w:val="00C36850"/>
    <w:rsid w:val="00C36D18"/>
    <w:rsid w:val="00C40438"/>
    <w:rsid w:val="00C4230A"/>
    <w:rsid w:val="00C44E74"/>
    <w:rsid w:val="00C5094D"/>
    <w:rsid w:val="00C53244"/>
    <w:rsid w:val="00C54390"/>
    <w:rsid w:val="00C559D3"/>
    <w:rsid w:val="00C57E59"/>
    <w:rsid w:val="00C603CC"/>
    <w:rsid w:val="00C622EE"/>
    <w:rsid w:val="00C65905"/>
    <w:rsid w:val="00C65FE6"/>
    <w:rsid w:val="00C71CF4"/>
    <w:rsid w:val="00C720E6"/>
    <w:rsid w:val="00C722A8"/>
    <w:rsid w:val="00C736E7"/>
    <w:rsid w:val="00C740DE"/>
    <w:rsid w:val="00C80963"/>
    <w:rsid w:val="00C8193E"/>
    <w:rsid w:val="00C82E03"/>
    <w:rsid w:val="00C83EE9"/>
    <w:rsid w:val="00C902D3"/>
    <w:rsid w:val="00C911F0"/>
    <w:rsid w:val="00C92B8F"/>
    <w:rsid w:val="00C92FC3"/>
    <w:rsid w:val="00C94492"/>
    <w:rsid w:val="00C95849"/>
    <w:rsid w:val="00C961F2"/>
    <w:rsid w:val="00C9701A"/>
    <w:rsid w:val="00C97250"/>
    <w:rsid w:val="00CA3ED4"/>
    <w:rsid w:val="00CA5D08"/>
    <w:rsid w:val="00CA7E73"/>
    <w:rsid w:val="00CB045F"/>
    <w:rsid w:val="00CB35BA"/>
    <w:rsid w:val="00CB3804"/>
    <w:rsid w:val="00CB43BC"/>
    <w:rsid w:val="00CB51A3"/>
    <w:rsid w:val="00CB52CB"/>
    <w:rsid w:val="00CB587F"/>
    <w:rsid w:val="00CB71B4"/>
    <w:rsid w:val="00CC0BBA"/>
    <w:rsid w:val="00CC109C"/>
    <w:rsid w:val="00CC13D8"/>
    <w:rsid w:val="00CC2729"/>
    <w:rsid w:val="00CC2765"/>
    <w:rsid w:val="00CC4114"/>
    <w:rsid w:val="00CC5076"/>
    <w:rsid w:val="00CC7FE8"/>
    <w:rsid w:val="00CD1ECF"/>
    <w:rsid w:val="00CD401F"/>
    <w:rsid w:val="00CD4ED1"/>
    <w:rsid w:val="00CD53CF"/>
    <w:rsid w:val="00CE050D"/>
    <w:rsid w:val="00CE1278"/>
    <w:rsid w:val="00CE2108"/>
    <w:rsid w:val="00CE2F1C"/>
    <w:rsid w:val="00CE450B"/>
    <w:rsid w:val="00CE6C44"/>
    <w:rsid w:val="00CF0287"/>
    <w:rsid w:val="00CF035E"/>
    <w:rsid w:val="00CF0F66"/>
    <w:rsid w:val="00CF1274"/>
    <w:rsid w:val="00CF1EAE"/>
    <w:rsid w:val="00CF26F9"/>
    <w:rsid w:val="00CF29F5"/>
    <w:rsid w:val="00CF2A8D"/>
    <w:rsid w:val="00CF40A1"/>
    <w:rsid w:val="00CF76EF"/>
    <w:rsid w:val="00CF7F55"/>
    <w:rsid w:val="00D038FB"/>
    <w:rsid w:val="00D06F2D"/>
    <w:rsid w:val="00D07000"/>
    <w:rsid w:val="00D07B27"/>
    <w:rsid w:val="00D10F65"/>
    <w:rsid w:val="00D11B93"/>
    <w:rsid w:val="00D11C6A"/>
    <w:rsid w:val="00D12646"/>
    <w:rsid w:val="00D13100"/>
    <w:rsid w:val="00D13282"/>
    <w:rsid w:val="00D160BA"/>
    <w:rsid w:val="00D17A65"/>
    <w:rsid w:val="00D21181"/>
    <w:rsid w:val="00D21CD5"/>
    <w:rsid w:val="00D21D5E"/>
    <w:rsid w:val="00D2515D"/>
    <w:rsid w:val="00D251AA"/>
    <w:rsid w:val="00D26496"/>
    <w:rsid w:val="00D26B37"/>
    <w:rsid w:val="00D26E11"/>
    <w:rsid w:val="00D27C1F"/>
    <w:rsid w:val="00D300F3"/>
    <w:rsid w:val="00D31933"/>
    <w:rsid w:val="00D3204A"/>
    <w:rsid w:val="00D324C2"/>
    <w:rsid w:val="00D33043"/>
    <w:rsid w:val="00D36563"/>
    <w:rsid w:val="00D3681B"/>
    <w:rsid w:val="00D37DEC"/>
    <w:rsid w:val="00D42512"/>
    <w:rsid w:val="00D42BBA"/>
    <w:rsid w:val="00D46445"/>
    <w:rsid w:val="00D478A4"/>
    <w:rsid w:val="00D47A92"/>
    <w:rsid w:val="00D5470D"/>
    <w:rsid w:val="00D56D22"/>
    <w:rsid w:val="00D57EE0"/>
    <w:rsid w:val="00D60C8B"/>
    <w:rsid w:val="00D63BCA"/>
    <w:rsid w:val="00D64558"/>
    <w:rsid w:val="00D7112A"/>
    <w:rsid w:val="00D71147"/>
    <w:rsid w:val="00D719A0"/>
    <w:rsid w:val="00D719DD"/>
    <w:rsid w:val="00D7430F"/>
    <w:rsid w:val="00D74C96"/>
    <w:rsid w:val="00D75CE3"/>
    <w:rsid w:val="00D76341"/>
    <w:rsid w:val="00D76FDC"/>
    <w:rsid w:val="00D77AC0"/>
    <w:rsid w:val="00D81C89"/>
    <w:rsid w:val="00D822B5"/>
    <w:rsid w:val="00D856DB"/>
    <w:rsid w:val="00D86248"/>
    <w:rsid w:val="00D90724"/>
    <w:rsid w:val="00D91505"/>
    <w:rsid w:val="00D94DE6"/>
    <w:rsid w:val="00D951E6"/>
    <w:rsid w:val="00D953E9"/>
    <w:rsid w:val="00DA1C9F"/>
    <w:rsid w:val="00DA3962"/>
    <w:rsid w:val="00DA3E7C"/>
    <w:rsid w:val="00DA561F"/>
    <w:rsid w:val="00DA6B21"/>
    <w:rsid w:val="00DA78AA"/>
    <w:rsid w:val="00DB03A1"/>
    <w:rsid w:val="00DB2685"/>
    <w:rsid w:val="00DB35ED"/>
    <w:rsid w:val="00DB3C4D"/>
    <w:rsid w:val="00DB640A"/>
    <w:rsid w:val="00DC04DB"/>
    <w:rsid w:val="00DC2AC0"/>
    <w:rsid w:val="00DC4B1B"/>
    <w:rsid w:val="00DC6A5D"/>
    <w:rsid w:val="00DC7373"/>
    <w:rsid w:val="00DD45BC"/>
    <w:rsid w:val="00DD6259"/>
    <w:rsid w:val="00DD6713"/>
    <w:rsid w:val="00DE125D"/>
    <w:rsid w:val="00DE2473"/>
    <w:rsid w:val="00DE258D"/>
    <w:rsid w:val="00DE31F5"/>
    <w:rsid w:val="00DE4B9A"/>
    <w:rsid w:val="00DE5681"/>
    <w:rsid w:val="00DE6190"/>
    <w:rsid w:val="00DE7F40"/>
    <w:rsid w:val="00DF0D85"/>
    <w:rsid w:val="00DF5010"/>
    <w:rsid w:val="00DF5CE5"/>
    <w:rsid w:val="00E009E3"/>
    <w:rsid w:val="00E01DCB"/>
    <w:rsid w:val="00E0276F"/>
    <w:rsid w:val="00E02E78"/>
    <w:rsid w:val="00E03A25"/>
    <w:rsid w:val="00E04247"/>
    <w:rsid w:val="00E05976"/>
    <w:rsid w:val="00E06F80"/>
    <w:rsid w:val="00E07749"/>
    <w:rsid w:val="00E1040A"/>
    <w:rsid w:val="00E127F6"/>
    <w:rsid w:val="00E16DFD"/>
    <w:rsid w:val="00E171F3"/>
    <w:rsid w:val="00E1767B"/>
    <w:rsid w:val="00E176D8"/>
    <w:rsid w:val="00E17FA4"/>
    <w:rsid w:val="00E20AF0"/>
    <w:rsid w:val="00E20F49"/>
    <w:rsid w:val="00E22BF7"/>
    <w:rsid w:val="00E23012"/>
    <w:rsid w:val="00E26DA2"/>
    <w:rsid w:val="00E31B85"/>
    <w:rsid w:val="00E331E5"/>
    <w:rsid w:val="00E34B0F"/>
    <w:rsid w:val="00E368A6"/>
    <w:rsid w:val="00E36D82"/>
    <w:rsid w:val="00E4030C"/>
    <w:rsid w:val="00E41B4C"/>
    <w:rsid w:val="00E44092"/>
    <w:rsid w:val="00E47A48"/>
    <w:rsid w:val="00E50343"/>
    <w:rsid w:val="00E52FBA"/>
    <w:rsid w:val="00E60618"/>
    <w:rsid w:val="00E6084A"/>
    <w:rsid w:val="00E60D69"/>
    <w:rsid w:val="00E6129B"/>
    <w:rsid w:val="00E628BB"/>
    <w:rsid w:val="00E63B1E"/>
    <w:rsid w:val="00E640A6"/>
    <w:rsid w:val="00E66B3A"/>
    <w:rsid w:val="00E66F51"/>
    <w:rsid w:val="00E671E3"/>
    <w:rsid w:val="00E70FD2"/>
    <w:rsid w:val="00E736A3"/>
    <w:rsid w:val="00E75BF6"/>
    <w:rsid w:val="00E75D9F"/>
    <w:rsid w:val="00E7671F"/>
    <w:rsid w:val="00E772A1"/>
    <w:rsid w:val="00E774C9"/>
    <w:rsid w:val="00E80AE6"/>
    <w:rsid w:val="00E80BF5"/>
    <w:rsid w:val="00E83E4C"/>
    <w:rsid w:val="00E8450D"/>
    <w:rsid w:val="00E86253"/>
    <w:rsid w:val="00E90C15"/>
    <w:rsid w:val="00E9116D"/>
    <w:rsid w:val="00E93096"/>
    <w:rsid w:val="00E9481C"/>
    <w:rsid w:val="00E9533C"/>
    <w:rsid w:val="00E971BA"/>
    <w:rsid w:val="00EA0BDB"/>
    <w:rsid w:val="00EA1AC2"/>
    <w:rsid w:val="00EA212F"/>
    <w:rsid w:val="00EA3816"/>
    <w:rsid w:val="00EA393A"/>
    <w:rsid w:val="00EB0DB3"/>
    <w:rsid w:val="00EB1522"/>
    <w:rsid w:val="00EB2571"/>
    <w:rsid w:val="00EB296A"/>
    <w:rsid w:val="00EC2583"/>
    <w:rsid w:val="00EC3C7B"/>
    <w:rsid w:val="00EC4091"/>
    <w:rsid w:val="00EC4FA6"/>
    <w:rsid w:val="00ED08A7"/>
    <w:rsid w:val="00ED1AAF"/>
    <w:rsid w:val="00ED2B96"/>
    <w:rsid w:val="00ED3729"/>
    <w:rsid w:val="00ED67F2"/>
    <w:rsid w:val="00EE0CB5"/>
    <w:rsid w:val="00EE1538"/>
    <w:rsid w:val="00EE1C95"/>
    <w:rsid w:val="00EE2BDF"/>
    <w:rsid w:val="00EE48FE"/>
    <w:rsid w:val="00EE673A"/>
    <w:rsid w:val="00EF032B"/>
    <w:rsid w:val="00EF070B"/>
    <w:rsid w:val="00EF083F"/>
    <w:rsid w:val="00EF41C3"/>
    <w:rsid w:val="00F00D77"/>
    <w:rsid w:val="00F01EED"/>
    <w:rsid w:val="00F0302D"/>
    <w:rsid w:val="00F03E97"/>
    <w:rsid w:val="00F0482D"/>
    <w:rsid w:val="00F0485C"/>
    <w:rsid w:val="00F071F5"/>
    <w:rsid w:val="00F07E8A"/>
    <w:rsid w:val="00F109DD"/>
    <w:rsid w:val="00F114E7"/>
    <w:rsid w:val="00F13AD6"/>
    <w:rsid w:val="00F15E6E"/>
    <w:rsid w:val="00F1629B"/>
    <w:rsid w:val="00F21992"/>
    <w:rsid w:val="00F27571"/>
    <w:rsid w:val="00F330A3"/>
    <w:rsid w:val="00F3372D"/>
    <w:rsid w:val="00F34233"/>
    <w:rsid w:val="00F34713"/>
    <w:rsid w:val="00F34C42"/>
    <w:rsid w:val="00F35CAD"/>
    <w:rsid w:val="00F36145"/>
    <w:rsid w:val="00F40557"/>
    <w:rsid w:val="00F40BFD"/>
    <w:rsid w:val="00F41B42"/>
    <w:rsid w:val="00F450D1"/>
    <w:rsid w:val="00F51694"/>
    <w:rsid w:val="00F52F90"/>
    <w:rsid w:val="00F53BE9"/>
    <w:rsid w:val="00F55A60"/>
    <w:rsid w:val="00F56E07"/>
    <w:rsid w:val="00F56F81"/>
    <w:rsid w:val="00F63AB0"/>
    <w:rsid w:val="00F66B84"/>
    <w:rsid w:val="00F66DC6"/>
    <w:rsid w:val="00F66E70"/>
    <w:rsid w:val="00F678D7"/>
    <w:rsid w:val="00F71922"/>
    <w:rsid w:val="00F72B1B"/>
    <w:rsid w:val="00F738E8"/>
    <w:rsid w:val="00F741BC"/>
    <w:rsid w:val="00F74A70"/>
    <w:rsid w:val="00F765D9"/>
    <w:rsid w:val="00F82C2A"/>
    <w:rsid w:val="00F84D08"/>
    <w:rsid w:val="00F84DDF"/>
    <w:rsid w:val="00F85854"/>
    <w:rsid w:val="00F85A4E"/>
    <w:rsid w:val="00F878F4"/>
    <w:rsid w:val="00F91053"/>
    <w:rsid w:val="00F919C0"/>
    <w:rsid w:val="00F93BC1"/>
    <w:rsid w:val="00F94E47"/>
    <w:rsid w:val="00F95F86"/>
    <w:rsid w:val="00FA2AF8"/>
    <w:rsid w:val="00FA35C7"/>
    <w:rsid w:val="00FA53BE"/>
    <w:rsid w:val="00FA607F"/>
    <w:rsid w:val="00FB6029"/>
    <w:rsid w:val="00FB669D"/>
    <w:rsid w:val="00FB7053"/>
    <w:rsid w:val="00FB772A"/>
    <w:rsid w:val="00FB7F95"/>
    <w:rsid w:val="00FC18EA"/>
    <w:rsid w:val="00FC1CB0"/>
    <w:rsid w:val="00FC2A44"/>
    <w:rsid w:val="00FC2E7B"/>
    <w:rsid w:val="00FC3E8D"/>
    <w:rsid w:val="00FC3EE2"/>
    <w:rsid w:val="00FC4B3D"/>
    <w:rsid w:val="00FC51CD"/>
    <w:rsid w:val="00FC604D"/>
    <w:rsid w:val="00FC69FD"/>
    <w:rsid w:val="00FD0576"/>
    <w:rsid w:val="00FD110B"/>
    <w:rsid w:val="00FD7456"/>
    <w:rsid w:val="00FE19D0"/>
    <w:rsid w:val="00FE6EA4"/>
    <w:rsid w:val="00FE744C"/>
    <w:rsid w:val="00FF19C9"/>
    <w:rsid w:val="00FF2A51"/>
    <w:rsid w:val="00FF4197"/>
    <w:rsid w:val="00FF5969"/>
    <w:rsid w:val="00FF6403"/>
    <w:rsid w:val="00FF6EE4"/>
    <w:rsid w:val="03511AD9"/>
    <w:rsid w:val="040957B0"/>
    <w:rsid w:val="05CD4261"/>
    <w:rsid w:val="073D4E1B"/>
    <w:rsid w:val="0DC46452"/>
    <w:rsid w:val="0FE50467"/>
    <w:rsid w:val="11C50AD2"/>
    <w:rsid w:val="137310CD"/>
    <w:rsid w:val="1380268A"/>
    <w:rsid w:val="139E1713"/>
    <w:rsid w:val="14AB4071"/>
    <w:rsid w:val="160355E4"/>
    <w:rsid w:val="1E9B6F46"/>
    <w:rsid w:val="1F117C4B"/>
    <w:rsid w:val="21503D5C"/>
    <w:rsid w:val="21880405"/>
    <w:rsid w:val="221901C6"/>
    <w:rsid w:val="23FA3B82"/>
    <w:rsid w:val="240C3C99"/>
    <w:rsid w:val="252B4520"/>
    <w:rsid w:val="26B5718F"/>
    <w:rsid w:val="27405DDD"/>
    <w:rsid w:val="29F05622"/>
    <w:rsid w:val="2B56592C"/>
    <w:rsid w:val="2D641ACB"/>
    <w:rsid w:val="32EB18BC"/>
    <w:rsid w:val="33327A76"/>
    <w:rsid w:val="33F27277"/>
    <w:rsid w:val="34627DD0"/>
    <w:rsid w:val="34D00E25"/>
    <w:rsid w:val="37761BE5"/>
    <w:rsid w:val="37F43E7D"/>
    <w:rsid w:val="3FA62CF0"/>
    <w:rsid w:val="426D2D10"/>
    <w:rsid w:val="431B3DD7"/>
    <w:rsid w:val="43ED4732"/>
    <w:rsid w:val="44AD0A30"/>
    <w:rsid w:val="450A3C3F"/>
    <w:rsid w:val="457727D3"/>
    <w:rsid w:val="47E21F28"/>
    <w:rsid w:val="48D079AD"/>
    <w:rsid w:val="490106A1"/>
    <w:rsid w:val="4936434B"/>
    <w:rsid w:val="4A983DB1"/>
    <w:rsid w:val="4AB62CB1"/>
    <w:rsid w:val="4AC36420"/>
    <w:rsid w:val="50397B11"/>
    <w:rsid w:val="50730793"/>
    <w:rsid w:val="522619E6"/>
    <w:rsid w:val="52A03630"/>
    <w:rsid w:val="5527308A"/>
    <w:rsid w:val="57DD2A68"/>
    <w:rsid w:val="59DD3ED1"/>
    <w:rsid w:val="5C9B13EF"/>
    <w:rsid w:val="5EC450EE"/>
    <w:rsid w:val="5F683CCB"/>
    <w:rsid w:val="60304B5C"/>
    <w:rsid w:val="603C7ADD"/>
    <w:rsid w:val="61FB3F16"/>
    <w:rsid w:val="62391CCD"/>
    <w:rsid w:val="62685D39"/>
    <w:rsid w:val="6432660E"/>
    <w:rsid w:val="6539684F"/>
    <w:rsid w:val="657C4E3A"/>
    <w:rsid w:val="66AE1DFB"/>
    <w:rsid w:val="67FE7035"/>
    <w:rsid w:val="68100B05"/>
    <w:rsid w:val="6BDE7235"/>
    <w:rsid w:val="70B8495E"/>
    <w:rsid w:val="7225294B"/>
    <w:rsid w:val="76AC0CD7"/>
    <w:rsid w:val="78D30E09"/>
    <w:rsid w:val="7F434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numPr>
        <w:ilvl w:val="0"/>
        <w:numId w:val="1"/>
      </w:numPr>
      <w:outlineLvl w:val="0"/>
    </w:pPr>
    <w:rPr>
      <w:rFonts w:ascii="Arial" w:hAnsi="Arial" w:eastAsia="仿宋_GB2312"/>
      <w:sz w:val="28"/>
      <w:lang w:bidi="he-IL"/>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adjustRightInd w:val="0"/>
      <w:snapToGrid w:val="0"/>
      <w:outlineLvl w:val="4"/>
    </w:pPr>
    <w:rPr>
      <w:rFonts w:ascii="宋体" w:hAnsi="宋体"/>
      <w:kern w:val="0"/>
      <w:sz w:val="28"/>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2520" w:leftChars="1200"/>
    </w:pPr>
  </w:style>
  <w:style w:type="paragraph" w:styleId="8">
    <w:name w:val="index 8"/>
    <w:basedOn w:val="1"/>
    <w:next w:val="1"/>
    <w:semiHidden/>
    <w:qFormat/>
    <w:uiPriority w:val="0"/>
    <w:pPr>
      <w:ind w:left="1400" w:leftChars="1400"/>
    </w:pPr>
  </w:style>
  <w:style w:type="paragraph" w:styleId="9">
    <w:name w:val="index 5"/>
    <w:basedOn w:val="1"/>
    <w:next w:val="1"/>
    <w:semiHidden/>
    <w:qFormat/>
    <w:uiPriority w:val="0"/>
    <w:pPr>
      <w:ind w:left="800" w:leftChars="800"/>
    </w:pPr>
  </w:style>
  <w:style w:type="paragraph" w:styleId="10">
    <w:name w:val="Document Map"/>
    <w:basedOn w:val="1"/>
    <w:semiHidden/>
    <w:qFormat/>
    <w:uiPriority w:val="0"/>
    <w:pPr>
      <w:shd w:val="clear" w:color="auto" w:fill="000080"/>
    </w:pPr>
  </w:style>
  <w:style w:type="paragraph" w:styleId="11">
    <w:name w:val="annotation text"/>
    <w:basedOn w:val="1"/>
    <w:link w:val="50"/>
    <w:qFormat/>
    <w:uiPriority w:val="0"/>
    <w:pPr>
      <w:jc w:val="left"/>
    </w:pPr>
    <w:rPr>
      <w:szCs w:val="24"/>
    </w:rPr>
  </w:style>
  <w:style w:type="paragraph" w:styleId="12">
    <w:name w:val="index 6"/>
    <w:basedOn w:val="1"/>
    <w:next w:val="1"/>
    <w:semiHidden/>
    <w:qFormat/>
    <w:uiPriority w:val="0"/>
    <w:pPr>
      <w:ind w:left="1000" w:leftChars="1000"/>
    </w:pPr>
  </w:style>
  <w:style w:type="paragraph" w:styleId="13">
    <w:name w:val="Body Text"/>
    <w:basedOn w:val="1"/>
    <w:qFormat/>
    <w:uiPriority w:val="0"/>
    <w:pPr>
      <w:jc w:val="left"/>
    </w:pPr>
    <w:rPr>
      <w:rFonts w:ascii="Arial" w:hAnsi="Arial" w:eastAsia="黑体"/>
      <w:b/>
      <w:sz w:val="32"/>
    </w:rPr>
  </w:style>
  <w:style w:type="paragraph" w:styleId="14">
    <w:name w:val="Body Text Indent"/>
    <w:basedOn w:val="1"/>
    <w:qFormat/>
    <w:uiPriority w:val="0"/>
    <w:pPr>
      <w:ind w:firstLine="645"/>
    </w:pPr>
    <w:rPr>
      <w:rFonts w:ascii="Arial" w:hAnsi="Arial" w:eastAsia="仿宋_GB2312"/>
      <w:sz w:val="28"/>
    </w:rPr>
  </w:style>
  <w:style w:type="paragraph" w:styleId="15">
    <w:name w:val="index 4"/>
    <w:basedOn w:val="1"/>
    <w:next w:val="1"/>
    <w:semiHidden/>
    <w:qFormat/>
    <w:uiPriority w:val="0"/>
    <w:pPr>
      <w:ind w:left="600" w:leftChars="600"/>
    </w:pPr>
  </w:style>
  <w:style w:type="paragraph" w:styleId="16">
    <w:name w:val="toc 5"/>
    <w:basedOn w:val="1"/>
    <w:next w:val="1"/>
    <w:semiHidden/>
    <w:qFormat/>
    <w:uiPriority w:val="0"/>
    <w:pPr>
      <w:ind w:left="1680" w:leftChars="800"/>
    </w:pPr>
  </w:style>
  <w:style w:type="paragraph" w:styleId="17">
    <w:name w:val="toc 3"/>
    <w:basedOn w:val="1"/>
    <w:next w:val="1"/>
    <w:semiHidden/>
    <w:qFormat/>
    <w:uiPriority w:val="0"/>
    <w:pPr>
      <w:ind w:left="840" w:leftChars="400"/>
    </w:pPr>
  </w:style>
  <w:style w:type="paragraph" w:styleId="18">
    <w:name w:val="Plain Text"/>
    <w:basedOn w:val="1"/>
    <w:qFormat/>
    <w:uiPriority w:val="0"/>
    <w:rPr>
      <w:rFonts w:ascii="宋体" w:hAnsi="Courier New" w:cs="Courier New"/>
      <w:szCs w:val="21"/>
    </w:rPr>
  </w:style>
  <w:style w:type="paragraph" w:styleId="19">
    <w:name w:val="toc 8"/>
    <w:basedOn w:val="1"/>
    <w:next w:val="1"/>
    <w:semiHidden/>
    <w:qFormat/>
    <w:uiPriority w:val="0"/>
    <w:pPr>
      <w:ind w:left="2940" w:leftChars="1400"/>
    </w:pPr>
  </w:style>
  <w:style w:type="paragraph" w:styleId="20">
    <w:name w:val="index 3"/>
    <w:basedOn w:val="1"/>
    <w:next w:val="1"/>
    <w:semiHidden/>
    <w:qFormat/>
    <w:uiPriority w:val="0"/>
    <w:pPr>
      <w:ind w:left="400" w:leftChars="400"/>
    </w:pPr>
  </w:style>
  <w:style w:type="paragraph" w:styleId="21">
    <w:name w:val="Date"/>
    <w:basedOn w:val="1"/>
    <w:next w:val="1"/>
    <w:qFormat/>
    <w:uiPriority w:val="0"/>
    <w:rPr>
      <w:rFonts w:ascii="仿宋_GB2312" w:eastAsia="仿宋_GB2312"/>
      <w:sz w:val="30"/>
      <w:lang w:bidi="he-IL"/>
    </w:rPr>
  </w:style>
  <w:style w:type="paragraph" w:styleId="22">
    <w:name w:val="Body Text Indent 2"/>
    <w:basedOn w:val="1"/>
    <w:qFormat/>
    <w:uiPriority w:val="0"/>
    <w:pPr>
      <w:ind w:firstLine="570"/>
    </w:pPr>
    <w:rPr>
      <w:rFonts w:ascii="Arial" w:hAnsi="Arial" w:eastAsia="仿宋_GB2312"/>
      <w:b/>
      <w:sz w:val="28"/>
    </w:rPr>
  </w:style>
  <w:style w:type="paragraph" w:styleId="23">
    <w:name w:val="Balloon Text"/>
    <w:basedOn w:val="1"/>
    <w:semiHidden/>
    <w:qFormat/>
    <w:uiPriority w:val="0"/>
    <w:rPr>
      <w:sz w:val="18"/>
      <w:szCs w:val="18"/>
    </w:rPr>
  </w:style>
  <w:style w:type="paragraph" w:styleId="24">
    <w:name w:val="footer"/>
    <w:basedOn w:val="1"/>
    <w:link w:val="51"/>
    <w:qFormat/>
    <w:uiPriority w:val="99"/>
    <w:pPr>
      <w:tabs>
        <w:tab w:val="center" w:pos="4153"/>
        <w:tab w:val="right" w:pos="8306"/>
      </w:tabs>
      <w:snapToGrid w:val="0"/>
      <w:jc w:val="left"/>
    </w:pPr>
    <w:rPr>
      <w:sz w:val="18"/>
      <w:lang w:bidi="he-IL"/>
    </w:rPr>
  </w:style>
  <w:style w:type="paragraph" w:styleId="25">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27"/>
    <w:next w:val="1"/>
    <w:semiHidden/>
    <w:qFormat/>
    <w:uiPriority w:val="0"/>
    <w:pPr>
      <w:tabs>
        <w:tab w:val="right" w:leader="dot" w:pos="9344"/>
      </w:tabs>
    </w:pPr>
    <w:rPr>
      <w:rFonts w:ascii="宋体" w:hAnsi="宋体" w:eastAsia="宋体"/>
      <w:bCs/>
      <w:sz w:val="28"/>
      <w:szCs w:val="28"/>
    </w:rPr>
  </w:style>
  <w:style w:type="paragraph" w:styleId="27">
    <w:name w:val="index 1"/>
    <w:basedOn w:val="1"/>
    <w:next w:val="1"/>
    <w:semiHidden/>
    <w:qFormat/>
    <w:uiPriority w:val="0"/>
    <w:rPr>
      <w:rFonts w:eastAsia="仿宋_GB2312"/>
      <w:b/>
      <w:sz w:val="24"/>
    </w:rPr>
  </w:style>
  <w:style w:type="paragraph" w:styleId="28">
    <w:name w:val="toc 4"/>
    <w:basedOn w:val="1"/>
    <w:next w:val="1"/>
    <w:semiHidden/>
    <w:qFormat/>
    <w:uiPriority w:val="0"/>
    <w:pPr>
      <w:ind w:left="1260" w:leftChars="600"/>
    </w:pPr>
  </w:style>
  <w:style w:type="paragraph" w:styleId="29">
    <w:name w:val="index heading"/>
    <w:basedOn w:val="1"/>
    <w:next w:val="27"/>
    <w:semiHidden/>
    <w:qFormat/>
    <w:uiPriority w:val="0"/>
  </w:style>
  <w:style w:type="paragraph" w:styleId="30">
    <w:name w:val="toc 6"/>
    <w:basedOn w:val="1"/>
    <w:next w:val="1"/>
    <w:semiHidden/>
    <w:qFormat/>
    <w:uiPriority w:val="0"/>
    <w:pPr>
      <w:ind w:left="2100" w:leftChars="1000"/>
    </w:pPr>
  </w:style>
  <w:style w:type="paragraph" w:styleId="31">
    <w:name w:val="Body Text Indent 3"/>
    <w:basedOn w:val="1"/>
    <w:qFormat/>
    <w:uiPriority w:val="0"/>
    <w:pPr>
      <w:ind w:left="2" w:firstLine="628" w:firstLineChars="196"/>
    </w:pPr>
    <w:rPr>
      <w:rFonts w:ascii="Arial" w:hAnsi="Arial" w:eastAsia="仿宋_GB2312"/>
      <w:b/>
      <w:sz w:val="32"/>
      <w:lang w:bidi="he-IL"/>
    </w:rPr>
  </w:style>
  <w:style w:type="paragraph" w:styleId="32">
    <w:name w:val="index 7"/>
    <w:basedOn w:val="1"/>
    <w:next w:val="1"/>
    <w:semiHidden/>
    <w:qFormat/>
    <w:uiPriority w:val="0"/>
    <w:pPr>
      <w:ind w:left="1200" w:leftChars="1200"/>
    </w:pPr>
  </w:style>
  <w:style w:type="paragraph" w:styleId="33">
    <w:name w:val="index 9"/>
    <w:basedOn w:val="1"/>
    <w:next w:val="1"/>
    <w:semiHidden/>
    <w:qFormat/>
    <w:uiPriority w:val="0"/>
    <w:pPr>
      <w:ind w:left="1600" w:leftChars="1600"/>
    </w:pPr>
  </w:style>
  <w:style w:type="paragraph" w:styleId="34">
    <w:name w:val="toc 2"/>
    <w:basedOn w:val="35"/>
    <w:next w:val="35"/>
    <w:semiHidden/>
    <w:qFormat/>
    <w:uiPriority w:val="0"/>
    <w:pPr>
      <w:tabs>
        <w:tab w:val="right" w:leader="dot" w:pos="9344"/>
      </w:tabs>
      <w:spacing w:line="300" w:lineRule="auto"/>
      <w:ind w:firstLine="120" w:firstLineChars="50"/>
    </w:pPr>
    <w:rPr>
      <w:rFonts w:eastAsia="仿宋_GB2312"/>
      <w:b/>
      <w:sz w:val="24"/>
    </w:rPr>
  </w:style>
  <w:style w:type="paragraph" w:styleId="35">
    <w:name w:val="index 2"/>
    <w:basedOn w:val="1"/>
    <w:next w:val="1"/>
    <w:semiHidden/>
    <w:qFormat/>
    <w:uiPriority w:val="0"/>
    <w:pPr>
      <w:ind w:left="420" w:leftChars="200"/>
    </w:pPr>
    <w:rPr>
      <w:rFonts w:ascii="Arial" w:hAnsi="Arial" w:cs="Arial"/>
      <w:sz w:val="28"/>
    </w:rPr>
  </w:style>
  <w:style w:type="paragraph" w:styleId="36">
    <w:name w:val="toc 9"/>
    <w:basedOn w:val="1"/>
    <w:next w:val="1"/>
    <w:semiHidden/>
    <w:qFormat/>
    <w:uiPriority w:val="0"/>
    <w:pPr>
      <w:ind w:left="3360" w:leftChars="1600"/>
    </w:p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8">
    <w:name w:val="Normal (Web)"/>
    <w:basedOn w:val="1"/>
    <w:qFormat/>
    <w:uiPriority w:val="0"/>
    <w:pPr>
      <w:spacing w:before="100" w:beforeAutospacing="1" w:after="100" w:afterAutospacing="1"/>
      <w:jc w:val="left"/>
    </w:pPr>
    <w:rPr>
      <w:kern w:val="0"/>
      <w:sz w:val="24"/>
    </w:rPr>
  </w:style>
  <w:style w:type="paragraph" w:styleId="39">
    <w:name w:val="Title"/>
    <w:basedOn w:val="1"/>
    <w:next w:val="1"/>
    <w:qFormat/>
    <w:uiPriority w:val="0"/>
    <w:pPr>
      <w:spacing w:before="240" w:after="60"/>
      <w:jc w:val="center"/>
      <w:outlineLvl w:val="0"/>
    </w:pPr>
    <w:rPr>
      <w:rFonts w:ascii="Cambria" w:hAnsi="Cambria"/>
      <w:b/>
      <w:bCs/>
      <w:sz w:val="32"/>
      <w:szCs w:val="32"/>
    </w:rPr>
  </w:style>
  <w:style w:type="paragraph" w:styleId="40">
    <w:name w:val="annotation subject"/>
    <w:basedOn w:val="11"/>
    <w:next w:val="11"/>
    <w:link w:val="53"/>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0"/>
    <w:rPr>
      <w:rFonts w:eastAsia="宋体"/>
      <w:b/>
      <w:bCs/>
      <w:sz w:val="24"/>
      <w:szCs w:val="24"/>
      <w:lang w:val="en-US" w:eastAsia="zh-CN" w:bidi="ar-SA"/>
    </w:rPr>
  </w:style>
  <w:style w:type="character" w:styleId="45">
    <w:name w:val="page number"/>
    <w:basedOn w:val="43"/>
    <w:qFormat/>
    <w:uiPriority w:val="0"/>
  </w:style>
  <w:style w:type="character" w:styleId="46">
    <w:name w:val="FollowedHyperlink"/>
    <w:qFormat/>
    <w:uiPriority w:val="0"/>
    <w:rPr>
      <w:rFonts w:eastAsia="宋体"/>
      <w:color w:val="800080"/>
      <w:sz w:val="24"/>
      <w:szCs w:val="24"/>
      <w:u w:val="single"/>
      <w:lang w:val="en-US" w:eastAsia="zh-CN" w:bidi="ar-SA"/>
    </w:rPr>
  </w:style>
  <w:style w:type="character" w:styleId="47">
    <w:name w:val="Hyperlink"/>
    <w:qFormat/>
    <w:uiPriority w:val="0"/>
    <w:rPr>
      <w:rFonts w:eastAsia="宋体"/>
      <w:color w:val="0000FF"/>
      <w:sz w:val="24"/>
      <w:szCs w:val="24"/>
      <w:u w:val="single"/>
      <w:lang w:val="en-US" w:eastAsia="zh-CN" w:bidi="ar-SA"/>
    </w:rPr>
  </w:style>
  <w:style w:type="character" w:styleId="48">
    <w:name w:val="annotation reference"/>
    <w:qFormat/>
    <w:uiPriority w:val="0"/>
    <w:rPr>
      <w:rFonts w:eastAsia="宋体"/>
      <w:sz w:val="21"/>
      <w:szCs w:val="21"/>
      <w:lang w:val="en-US" w:eastAsia="zh-CN" w:bidi="ar-SA"/>
    </w:rPr>
  </w:style>
  <w:style w:type="character" w:customStyle="1" w:styleId="49">
    <w:name w:val="标题 3 Char"/>
    <w:link w:val="4"/>
    <w:qFormat/>
    <w:uiPriority w:val="9"/>
    <w:rPr>
      <w:b/>
      <w:bCs/>
      <w:kern w:val="2"/>
      <w:sz w:val="32"/>
      <w:szCs w:val="32"/>
    </w:rPr>
  </w:style>
  <w:style w:type="character" w:customStyle="1" w:styleId="50">
    <w:name w:val="批注文字 Char"/>
    <w:link w:val="11"/>
    <w:qFormat/>
    <w:uiPriority w:val="0"/>
    <w:rPr>
      <w:rFonts w:eastAsia="宋体"/>
      <w:kern w:val="2"/>
      <w:sz w:val="21"/>
      <w:szCs w:val="24"/>
      <w:lang w:val="en-US" w:eastAsia="zh-CN" w:bidi="ar-SA"/>
    </w:rPr>
  </w:style>
  <w:style w:type="character" w:customStyle="1" w:styleId="51">
    <w:name w:val="页脚 Char"/>
    <w:basedOn w:val="43"/>
    <w:link w:val="24"/>
    <w:qFormat/>
    <w:uiPriority w:val="99"/>
    <w:rPr>
      <w:kern w:val="2"/>
      <w:sz w:val="18"/>
      <w:lang w:bidi="he-IL"/>
    </w:rPr>
  </w:style>
  <w:style w:type="character" w:customStyle="1" w:styleId="52">
    <w:name w:val="页眉 Char"/>
    <w:basedOn w:val="43"/>
    <w:link w:val="25"/>
    <w:qFormat/>
    <w:uiPriority w:val="99"/>
    <w:rPr>
      <w:kern w:val="2"/>
      <w:sz w:val="18"/>
      <w:szCs w:val="18"/>
    </w:rPr>
  </w:style>
  <w:style w:type="character" w:customStyle="1" w:styleId="53">
    <w:name w:val="批注主题 Char"/>
    <w:link w:val="40"/>
    <w:qFormat/>
    <w:uiPriority w:val="0"/>
    <w:rPr>
      <w:rFonts w:eastAsia="宋体"/>
      <w:b/>
      <w:bCs/>
      <w:kern w:val="2"/>
      <w:sz w:val="21"/>
      <w:szCs w:val="24"/>
      <w:lang w:val="en-US" w:eastAsia="zh-CN" w:bidi="ar-SA"/>
    </w:rPr>
  </w:style>
  <w:style w:type="character" w:customStyle="1" w:styleId="54">
    <w:name w:val="param_td12"/>
    <w:basedOn w:val="43"/>
    <w:qFormat/>
    <w:uiPriority w:val="0"/>
  </w:style>
  <w:style w:type="paragraph" w:customStyle="1" w:styleId="55">
    <w:name w:val="Char Char Char Char"/>
    <w:basedOn w:val="1"/>
    <w:qFormat/>
    <w:uiPriority w:val="0"/>
    <w:pPr>
      <w:widowControl/>
      <w:spacing w:after="160" w:line="240" w:lineRule="exact"/>
      <w:jc w:val="left"/>
    </w:pPr>
    <w:rPr>
      <w:rFonts w:ascii="Verdana" w:hAnsi="Verdana"/>
      <w:kern w:val="0"/>
    </w:rPr>
  </w:style>
  <w:style w:type="paragraph" w:customStyle="1" w:styleId="56">
    <w:name w:val="Char"/>
    <w:basedOn w:val="1"/>
    <w:next w:val="1"/>
    <w:qFormat/>
    <w:uiPriority w:val="0"/>
    <w:pPr>
      <w:tabs>
        <w:tab w:val="left" w:pos="777"/>
      </w:tabs>
      <w:spacing w:beforeLines="50" w:afterLines="100" w:line="360" w:lineRule="auto"/>
      <w:ind w:left="2210" w:hanging="748"/>
      <w:jc w:val="center"/>
    </w:pPr>
    <w:rPr>
      <w:kern w:val="0"/>
      <w:sz w:val="24"/>
      <w:szCs w:val="24"/>
    </w:rPr>
  </w:style>
  <w:style w:type="paragraph" w:customStyle="1" w:styleId="57">
    <w:name w:val="4"/>
    <w:basedOn w:val="1"/>
    <w:next w:val="1"/>
    <w:qFormat/>
    <w:uiPriority w:val="0"/>
    <w:rPr>
      <w:szCs w:val="24"/>
    </w:rPr>
  </w:style>
  <w:style w:type="paragraph" w:customStyle="1" w:styleId="5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w:basedOn w:val="1"/>
    <w:qFormat/>
    <w:uiPriority w:val="0"/>
    <w:rPr>
      <w:rFonts w:eastAsia="仿宋_GB2312"/>
      <w:sz w:val="28"/>
      <w:szCs w:val="24"/>
    </w:rPr>
  </w:style>
  <w:style w:type="paragraph" w:customStyle="1" w:styleId="60">
    <w:name w:val="序言中的项目"/>
    <w:basedOn w:val="1"/>
    <w:qFormat/>
    <w:uiPriority w:val="0"/>
    <w:pPr>
      <w:numPr>
        <w:ilvl w:val="0"/>
        <w:numId w:val="2"/>
      </w:numPr>
    </w:pPr>
    <w:rPr>
      <w:szCs w:val="24"/>
    </w:rPr>
  </w:style>
  <w:style w:type="paragraph" w:customStyle="1" w:styleId="61">
    <w:name w:val="xl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rPr>
  </w:style>
  <w:style w:type="paragraph" w:customStyle="1" w:styleId="62">
    <w:name w:val="图1"/>
    <w:basedOn w:val="1"/>
    <w:next w:val="1"/>
    <w:qFormat/>
    <w:uiPriority w:val="0"/>
    <w:pPr>
      <w:numPr>
        <w:ilvl w:val="0"/>
        <w:numId w:val="3"/>
      </w:numPr>
      <w:spacing w:beforeLines="50" w:afterLines="100" w:line="360" w:lineRule="auto"/>
      <w:ind w:left="2210" w:hanging="748"/>
      <w:jc w:val="center"/>
    </w:pPr>
    <w:rPr>
      <w:kern w:val="0"/>
      <w:sz w:val="24"/>
      <w:szCs w:val="24"/>
    </w:rPr>
  </w:style>
  <w:style w:type="paragraph" w:customStyle="1" w:styleId="63">
    <w:name w:val="xl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rPr>
  </w:style>
  <w:style w:type="paragraph" w:customStyle="1" w:styleId="64">
    <w:name w:val="Char4 Char Char Char Char Char Char Char Char Char"/>
    <w:basedOn w:val="1"/>
    <w:semiHidden/>
    <w:qFormat/>
    <w:uiPriority w:val="0"/>
    <w:pPr>
      <w:tabs>
        <w:tab w:val="left" w:pos="432"/>
      </w:tabs>
      <w:spacing w:beforeLines="50" w:afterLines="50"/>
      <w:ind w:left="432" w:hanging="432"/>
    </w:pPr>
    <w:rPr>
      <w:sz w:val="24"/>
      <w:szCs w:val="24"/>
    </w:rPr>
  </w:style>
  <w:style w:type="paragraph" w:customStyle="1" w:styleId="6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6">
    <w:name w:val="Char1 Char Char Char"/>
    <w:basedOn w:val="1"/>
    <w:qFormat/>
    <w:uiPriority w:val="0"/>
    <w:rPr>
      <w:rFonts w:ascii="Tahoma" w:hAnsi="Tahoma"/>
      <w:sz w:val="24"/>
    </w:rPr>
  </w:style>
  <w:style w:type="paragraph" w:customStyle="1" w:styleId="67">
    <w:name w:val="xl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rPr>
  </w:style>
  <w:style w:type="paragraph" w:customStyle="1" w:styleId="68">
    <w:name w:val="xl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eastAsia="仿宋_GB2312" w:cs="宋体"/>
      <w:kern w:val="0"/>
      <w:sz w:val="20"/>
    </w:rPr>
  </w:style>
  <w:style w:type="paragraph" w:customStyle="1" w:styleId="69">
    <w:name w:val="Other|1"/>
    <w:basedOn w:val="1"/>
    <w:qFormat/>
    <w:uiPriority w:val="0"/>
    <w:pPr>
      <w:spacing w:line="432" w:lineRule="auto"/>
      <w:ind w:firstLine="400"/>
    </w:pPr>
    <w:rPr>
      <w:sz w:val="19"/>
      <w:szCs w:val="19"/>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customShpInfo spid="_x0000_s2066" textRotate="1"/>
    <customShpInfo spid="_x0000_s2067"/>
    <customShpInfo spid="_x0000_s2065" textRotate="1"/>
    <customShpInfo spid="_x0000_s2056"/>
    <customShpInfo spid="_x0000_s206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1833</Words>
  <Characters>10450</Characters>
  <Lines>87</Lines>
  <Paragraphs>24</Paragraphs>
  <TotalTime>7</TotalTime>
  <ScaleCrop>false</ScaleCrop>
  <LinksUpToDate>false</LinksUpToDate>
  <CharactersWithSpaces>12259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2021-12-25T04:08:00Z</dcterms:created>
  <dc:creator>李</dc:creator>
  <cp:lastModifiedBy>苦乐年华</cp:lastModifiedBy>
  <cp:lastPrinted>2021-12-25T09:48:00Z</cp:lastPrinted>
  <dcterms:modified xsi:type="dcterms:W3CDTF">2021-12-25T09:54:29Z</dcterms:modified>
  <dc:title>目    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4EDBFC94C6B0449182DACBF292BD02A4</vt:lpwstr>
  </property>
</Properties>
</file>